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附录</w:t>
      </w:r>
      <w:r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autoSpaceDN w:val="0"/>
        <w:spacing w:line="500" w:lineRule="exact"/>
        <w:ind w:firstLine="560" w:firstLineChars="200"/>
        <w:jc w:val="center"/>
        <w:textAlignment w:val="center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教职工厨艺秀评分表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作品号：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2"/>
        <w:tblpPr w:leftFromText="180" w:rightFromText="180" w:vertAnchor="text" w:horzAnchor="page" w:tblpX="1875" w:tblpY="485"/>
        <w:tblOverlap w:val="never"/>
        <w:tblW w:w="8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0"/>
        <w:gridCol w:w="1080"/>
        <w:gridCol w:w="3515"/>
        <w:gridCol w:w="1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评分类别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分 数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评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地方风味浓郁或有创新性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口感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符合成品本身应具有的地方或创新口味特点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色泽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符合成品本身应具有的地方或创新色泽要求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符合成品本身应具有的地方或创新成形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要求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营养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营养配比合理，成品中无异物，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未使用违禁及有害物质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仿宋_GB2312"/>
          <w:b/>
          <w:bCs/>
          <w:color w:val="00000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4517C"/>
    <w:rsid w:val="6D945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2019-05-24T09:14:00Z</dcterms:created>
  <dc:creator>张抒娟</dc:creator>
  <cp:lastModifiedBy>张抒娟</cp:lastModifiedBy>
  <dcterms:modified xsi:type="dcterms:W3CDTF">2019-05-24T09:16:15Z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