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347FE"/>
    <w:p w14:paraId="7E439E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color w:val="auto"/>
          <w:kern w:val="0"/>
          <w:sz w:val="21"/>
          <w:szCs w:val="21"/>
          <w:highlight w:val="none"/>
          <w:u w:val="none"/>
          <w:lang w:val="en-US" w:eastAsia="zh-CN"/>
        </w:rPr>
        <w:t>附件：人工智能实训平台技术要求</w:t>
      </w:r>
      <w:bookmarkEnd w:id="0"/>
    </w:p>
    <w:p w14:paraId="5C2282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大模型与智能体实训平台包含如下基本功能和主要需求：</w:t>
      </w:r>
    </w:p>
    <w:p w14:paraId="14658E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一、知识库：</w:t>
      </w:r>
    </w:p>
    <w:p w14:paraId="25EE5E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1、支持上传文本文件文档，包括 MARKDOWN、 TXT、DOCX、PDF格式。</w:t>
      </w:r>
    </w:p>
    <w:p w14:paraId="5EA481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★2、支持知识库文档的兜底回复方式，大模型兜底回复或自定义回复内容。（提供功能截图予以佐证并加盖投标人公章）</w:t>
      </w:r>
    </w:p>
    <w:p w14:paraId="0F7A4C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3、支持文档的智能分段、自定义分段。</w:t>
      </w:r>
    </w:p>
    <w:p w14:paraId="1C277C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4、支持知识库原文档预览、分段预览。</w:t>
      </w:r>
    </w:p>
    <w:p w14:paraId="50E940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5、支持QA问答对语料，按一问一答自动分段，支持随答案一并输出附件文件。</w:t>
      </w:r>
    </w:p>
    <w:p w14:paraId="10659C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6、支持设置知识库检索相似度最低值以及召回分段数。</w:t>
      </w:r>
    </w:p>
    <w:p w14:paraId="1859FF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二、数据库</w:t>
      </w:r>
    </w:p>
    <w:p w14:paraId="6A36E9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1、支持连接MySQL、Oracle、SQLServer、postgreSQL类型数据库的远程连接（提供演示视频）</w:t>
      </w:r>
    </w:p>
    <w:p w14:paraId="63C03E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2、根据数据表字段及表数据信息进行问答</w:t>
      </w:r>
    </w:p>
    <w:p w14:paraId="11F0ED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三、对话体验</w:t>
      </w:r>
    </w:p>
    <w:p w14:paraId="73BD6E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★1、支持设置多轮对话的记忆轮数，根据历史对话理解当前用户问题。（提供功能截图予以佐证并加盖投标人公章）</w:t>
      </w:r>
    </w:p>
    <w:p w14:paraId="5E4B9C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★2、支持用户自定义提示词优化要求，从而提升知识库检索召回率和准确率。（提供功能截图予以佐证并加盖投标人公章）</w:t>
      </w:r>
    </w:p>
    <w:p w14:paraId="6552F1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四、插件</w:t>
      </w:r>
    </w:p>
    <w:p w14:paraId="394597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★1、支持自定义插件工具，自定义输入、输出参数。（提供功能截图予以佐证并加盖投标人公章）</w:t>
      </w:r>
    </w:p>
    <w:p w14:paraId="37C8AD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2、系统预置通用插件资源。</w:t>
      </w:r>
    </w:p>
    <w:p w14:paraId="686BD2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五、工作流</w:t>
      </w:r>
    </w:p>
    <w:p w14:paraId="0800F2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1、支持拖拽节点，自定义设计多步骤任务，提升智能体处理复杂任务的效率。</w:t>
      </w:r>
    </w:p>
    <w:p w14:paraId="497A41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2、支持大模型、插件、知识库查询、工作流节点。</w:t>
      </w:r>
    </w:p>
    <w:p w14:paraId="3D8CC4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3、支持工作流试运行。</w:t>
      </w:r>
    </w:p>
    <w:p w14:paraId="189126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4、支持工作流历史版本的回溯。</w:t>
      </w:r>
    </w:p>
    <w:p w14:paraId="09DDC8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六、预览与调试</w:t>
      </w:r>
    </w:p>
    <w:p w14:paraId="5D86CB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1、提供全链路调试，支持在调试台查看每条用户请求从输入到响应的全流程，方便用户快速定位问题。</w:t>
      </w:r>
    </w:p>
    <w:p w14:paraId="22FB33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★2、可视化方式展示请求响应的完整链路和各节点的执行情况。（提供功能截图予以佐证并加盖投标人公章）</w:t>
      </w:r>
    </w:p>
    <w:p w14:paraId="10DE54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七、智能体应用搭建</w:t>
      </w:r>
    </w:p>
    <w:p w14:paraId="2415B6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1、支持简单配置及工作流方式高级编排。</w:t>
      </w:r>
    </w:p>
    <w:p w14:paraId="70B8BE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2、支持一句话创建智能体。</w:t>
      </w:r>
    </w:p>
    <w:p w14:paraId="10C7BB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3、支持查看历史对话记录。</w:t>
      </w:r>
    </w:p>
    <w:p w14:paraId="03CF07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八、日志与分析</w:t>
      </w:r>
    </w:p>
    <w:p w14:paraId="232729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1、支持智能体发布者按会话、按对话不同维度查看用户的对话记录。</w:t>
      </w:r>
    </w:p>
    <w:p w14:paraId="328FA9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★2、支持智能体发布者查看智能体的token消耗数据、用户数、会话数、对话数，并支持筛选查看不同时段的数据。（提供功能截图予以佐证并加盖投标人公章）</w:t>
      </w:r>
    </w:p>
    <w:p w14:paraId="73D8F1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九、大模型对接</w:t>
      </w:r>
    </w:p>
    <w:p w14:paraId="600FAA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1、支持对接主流的大模型，包括本地私有大模型（Qwen3等）、国内公共大模型（DeepSeek等）。</w:t>
      </w:r>
    </w:p>
    <w:p w14:paraId="4BD73E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2、内置Embedding模型且支持自定义。</w:t>
      </w:r>
    </w:p>
    <w:p w14:paraId="2A9D84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十、大模型微调</w:t>
      </w:r>
    </w:p>
    <w:p w14:paraId="449A7D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#1、支持DeepSeek、LLaMA等大模型的微调，提供模块化框架，通过Web界面调参，可快速开展垂直领域大模型的优化研究。（提供演示视频）</w:t>
      </w:r>
    </w:p>
    <w:p w14:paraId="5303FD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#2、支持Lora微调。（提供演示视频）</w:t>
      </w:r>
    </w:p>
    <w:p w14:paraId="3D08C4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#3、支持微调模型的在线体验。（提供演示视频）</w:t>
      </w:r>
    </w:p>
    <w:p w14:paraId="3CC028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4、支持微调模型的模型文件下载。</w:t>
      </w:r>
    </w:p>
    <w:p w14:paraId="52C068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十一、AI能力应用开发</w:t>
      </w:r>
    </w:p>
    <w:p w14:paraId="527358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1、提供开箱即用的实验环境，无需复杂配置。</w:t>
      </w:r>
    </w:p>
    <w:p w14:paraId="26DBC2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2、支持从数据处理、模型训练、模型评估到应用创建和API部署的一站式AI能力开发流程，大幅降低使用门槛。</w:t>
      </w:r>
    </w:p>
    <w:p w14:paraId="624085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3、内置行业数据集及预训练模型，降低行业模型训练门槛及成本。</w:t>
      </w:r>
    </w:p>
    <w:p w14:paraId="30294C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#4、支持模型及应用的在线体验。（提供演示视频）</w:t>
      </w:r>
    </w:p>
    <w:p w14:paraId="06A5E7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#5、支持模型及应用的在线部署，可发布为API。（提供演示视频）</w:t>
      </w:r>
    </w:p>
    <w:p w14:paraId="24EBD3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6、支持模型及应用git文件的在线增删改。</w:t>
      </w:r>
    </w:p>
    <w:p w14:paraId="518963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十二：系统设置</w:t>
      </w:r>
    </w:p>
    <w:p w14:paraId="57FFC8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1、banner管理：配置首页banner。</w:t>
      </w:r>
    </w:p>
    <w:p w14:paraId="520C98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2、集群管理：查看各节点数据。</w:t>
      </w:r>
    </w:p>
    <w:p w14:paraId="7213E7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3、资源配置：按CPU和GPU分别进行资源配置管理。</w:t>
      </w:r>
    </w:p>
    <w:p w14:paraId="740597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4、镜像管理：管理镜像及镜像资源配置。</w:t>
      </w:r>
    </w:p>
    <w:p w14:paraId="38B24F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5、容器管理：查看及管理容器。</w:t>
      </w:r>
    </w:p>
    <w:p w14:paraId="1F4497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6、基础模型管理：针对不同模型供应商及模型版本的管理。</w:t>
      </w:r>
    </w:p>
    <w:p w14:paraId="381D5F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7、模型管理：配置前端智能体所用的大语言模型及向量模型，支持在线模型及本地模型。</w:t>
      </w:r>
    </w:p>
    <w:p w14:paraId="21E40A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8、精调数据管理：管理模型精调所需的基础精调数据集。</w:t>
      </w:r>
    </w:p>
    <w:p w14:paraId="46FDD5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十三：分类管理</w:t>
      </w:r>
    </w:p>
    <w:p w14:paraId="42287F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1、标签管理：管理应用、模型、数据集的标签。</w:t>
      </w:r>
    </w:p>
    <w:p w14:paraId="33BDA7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2、智能体分类：对智能体分类的增删改。</w:t>
      </w:r>
    </w:p>
    <w:p w14:paraId="14DB43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3、知识库分类：对知识库分类的增删改。</w:t>
      </w:r>
    </w:p>
    <w:p w14:paraId="08E438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4、插件分类：对插件分类的增删改。</w:t>
      </w:r>
    </w:p>
    <w:p w14:paraId="07AF95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十四：数据看板</w:t>
      </w:r>
    </w:p>
    <w:p w14:paraId="51431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1、算力资源概览：对CPU、内存、GPU利用率、显存占用、磁盘空间数据的实时监控，以及近24小时/近一周/近一个月的使用趋势。</w:t>
      </w:r>
    </w:p>
    <w:p w14:paraId="32A0A5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b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2、节点资源数据：查看每个节点的运行状态，CPU、内存、GPU利用率、显存占用、磁盘空间的实时数据，以及节点调用的每张物理卡的显存使用率及GPU利用率数据。</w:t>
      </w:r>
    </w:p>
    <w:p w14:paraId="2473D31B">
      <w:pPr>
        <w:pStyle w:val="6"/>
        <w:ind w:left="0" w:leftChars="0" w:firstLine="0" w:firstLineChars="0"/>
        <w:rPr>
          <w:rFonts w:ascii="宋体" w:hAnsi="宋体" w:cs="宋体"/>
          <w:b/>
          <w:bCs/>
          <w:color w:val="000000"/>
          <w:sz w:val="24"/>
          <w:lang w:bidi="zh-TW"/>
        </w:rPr>
      </w:pPr>
      <w:r>
        <w:rPr>
          <w:rFonts w:hint="eastAsia" w:ascii="宋体" w:hAnsi="宋体" w:cs="宋体"/>
          <w:b/>
          <w:bCs/>
          <w:color w:val="000000"/>
          <w:sz w:val="24"/>
          <w:lang w:bidi="zh-TW"/>
        </w:rPr>
        <w:t>二、采购商务要求</w:t>
      </w:r>
    </w:p>
    <w:tbl>
      <w:tblPr>
        <w:tblStyle w:val="7"/>
        <w:tblpPr w:leftFromText="180" w:rightFromText="180" w:vertAnchor="text" w:horzAnchor="margin" w:tblpXSpec="center" w:tblpY="209"/>
        <w:tblOverlap w:val="never"/>
        <w:tblW w:w="9400" w:type="dxa"/>
        <w:tblInd w:w="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660"/>
        <w:gridCol w:w="1340"/>
        <w:gridCol w:w="5640"/>
      </w:tblGrid>
      <w:tr w14:paraId="6C682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</w:trPr>
        <w:tc>
          <w:tcPr>
            <w:tcW w:w="760" w:type="dxa"/>
            <w:vAlign w:val="center"/>
          </w:tcPr>
          <w:p w14:paraId="41FAC1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660" w:type="dxa"/>
            <w:vAlign w:val="center"/>
          </w:tcPr>
          <w:p w14:paraId="26D0FFC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  <w:szCs w:val="24"/>
                <w:lang w:val="zh-CN"/>
              </w:rPr>
              <w:t>指标项</w:t>
            </w:r>
          </w:p>
        </w:tc>
        <w:tc>
          <w:tcPr>
            <w:tcW w:w="1340" w:type="dxa"/>
            <w:vAlign w:val="center"/>
          </w:tcPr>
          <w:p w14:paraId="4ADB10F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  <w:szCs w:val="24"/>
                <w:lang w:val="zh-CN"/>
              </w:rPr>
              <w:t>重要性</w:t>
            </w:r>
          </w:p>
        </w:tc>
        <w:tc>
          <w:tcPr>
            <w:tcW w:w="5640" w:type="dxa"/>
            <w:vAlign w:val="center"/>
          </w:tcPr>
          <w:p w14:paraId="793428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  <w:szCs w:val="24"/>
                <w:lang w:val="zh-CN"/>
              </w:rPr>
              <w:t>指标要求</w:t>
            </w:r>
          </w:p>
        </w:tc>
      </w:tr>
      <w:tr w14:paraId="5D99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0" w:type="dxa"/>
            <w:vAlign w:val="center"/>
          </w:tcPr>
          <w:p w14:paraId="5482BC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1660" w:type="dxa"/>
            <w:vAlign w:val="center"/>
          </w:tcPr>
          <w:p w14:paraId="5D7F20F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供货期/服务期/工期</w:t>
            </w:r>
          </w:p>
        </w:tc>
        <w:tc>
          <w:tcPr>
            <w:tcW w:w="1340" w:type="dxa"/>
            <w:vAlign w:val="top"/>
          </w:tcPr>
          <w:p w14:paraId="4F6C7F25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</w:p>
          <w:p w14:paraId="25E0445A">
            <w:pPr>
              <w:autoSpaceDE w:val="0"/>
              <w:autoSpaceDN w:val="0"/>
              <w:adjustRightInd w:val="0"/>
              <w:snapToGrid w:val="0"/>
              <w:ind w:firstLine="240" w:firstLineChars="100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重要</w:t>
            </w:r>
          </w:p>
        </w:tc>
        <w:tc>
          <w:tcPr>
            <w:tcW w:w="5640" w:type="dxa"/>
            <w:vAlign w:val="top"/>
          </w:tcPr>
          <w:p w14:paraId="5147D80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供货期：合同生效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个工作日内完成项目交付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0E16D5E7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服务期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年</w:t>
            </w:r>
          </w:p>
        </w:tc>
      </w:tr>
      <w:tr w14:paraId="5C2B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vAlign w:val="center"/>
          </w:tcPr>
          <w:p w14:paraId="391086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1660" w:type="dxa"/>
            <w:vAlign w:val="center"/>
          </w:tcPr>
          <w:p w14:paraId="407478E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质保期</w:t>
            </w:r>
          </w:p>
        </w:tc>
        <w:tc>
          <w:tcPr>
            <w:tcW w:w="1340" w:type="dxa"/>
            <w:vAlign w:val="center"/>
          </w:tcPr>
          <w:p w14:paraId="25AB97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非常重要</w:t>
            </w:r>
          </w:p>
        </w:tc>
        <w:tc>
          <w:tcPr>
            <w:tcW w:w="5640" w:type="dxa"/>
            <w:vAlign w:val="center"/>
          </w:tcPr>
          <w:p w14:paraId="7B09147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  <w:lang w:val="zh-CN"/>
              </w:rPr>
              <w:t>年</w:t>
            </w:r>
          </w:p>
        </w:tc>
      </w:tr>
      <w:tr w14:paraId="06DE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629584E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0" w:type="dxa"/>
            <w:vAlign w:val="center"/>
          </w:tcPr>
          <w:p w14:paraId="12E9677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服务标准/</w:t>
            </w:r>
          </w:p>
          <w:p w14:paraId="547781A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售后服务要求</w:t>
            </w:r>
          </w:p>
        </w:tc>
        <w:tc>
          <w:tcPr>
            <w:tcW w:w="1340" w:type="dxa"/>
            <w:vAlign w:val="top"/>
          </w:tcPr>
          <w:p w14:paraId="566406C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</w:p>
          <w:p w14:paraId="3423ED4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</w:p>
          <w:p w14:paraId="6D3C1F2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重要</w:t>
            </w:r>
          </w:p>
        </w:tc>
        <w:tc>
          <w:tcPr>
            <w:tcW w:w="5640" w:type="dxa"/>
            <w:vAlign w:val="top"/>
          </w:tcPr>
          <w:p w14:paraId="5AD360DE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lang w:val="zh-CN"/>
              </w:rPr>
              <w:t xml:space="preserve">所有软件 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lang w:val="zh-CN"/>
              </w:rPr>
              <w:t xml:space="preserve"> 年免费保修升级、电话报修后 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lang w:val="zh-CN"/>
              </w:rPr>
              <w:t>24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lang w:val="zh-CN"/>
              </w:rPr>
              <w:t>小时上门服务、 48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lang w:val="zh-CN"/>
              </w:rPr>
              <w:t>小时内排除故障。</w:t>
            </w:r>
          </w:p>
          <w:p w14:paraId="614E871A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lang w:val="zh-CN"/>
              </w:rPr>
              <w:t>所有软件3年内免费保修升级期内按按原价的进行维修升级，响应速度同保修期响应速度。</w:t>
            </w:r>
          </w:p>
        </w:tc>
      </w:tr>
      <w:tr w14:paraId="78E1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0167FF3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60" w:type="dxa"/>
            <w:vAlign w:val="center"/>
          </w:tcPr>
          <w:p w14:paraId="79B5277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培训要求</w:t>
            </w:r>
          </w:p>
        </w:tc>
        <w:tc>
          <w:tcPr>
            <w:tcW w:w="1340" w:type="dxa"/>
            <w:vAlign w:val="top"/>
          </w:tcPr>
          <w:p w14:paraId="3922216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重要</w:t>
            </w:r>
          </w:p>
        </w:tc>
        <w:tc>
          <w:tcPr>
            <w:tcW w:w="5640" w:type="dxa"/>
            <w:vAlign w:val="top"/>
          </w:tcPr>
          <w:p w14:paraId="42E27F6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lang w:val="zh-CN"/>
              </w:rPr>
              <w:t>提供不少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1次的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lang w:val="zh-CN"/>
              </w:rPr>
              <w:t>现场培训</w:t>
            </w:r>
          </w:p>
        </w:tc>
      </w:tr>
      <w:tr w14:paraId="234A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2140AC3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0" w:type="dxa"/>
            <w:vAlign w:val="center"/>
          </w:tcPr>
          <w:p w14:paraId="7F3CC6D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验收标准</w:t>
            </w:r>
          </w:p>
        </w:tc>
        <w:tc>
          <w:tcPr>
            <w:tcW w:w="1340" w:type="dxa"/>
            <w:vAlign w:val="top"/>
          </w:tcPr>
          <w:p w14:paraId="71F6235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重要</w:t>
            </w:r>
          </w:p>
        </w:tc>
        <w:tc>
          <w:tcPr>
            <w:tcW w:w="5640" w:type="dxa"/>
            <w:vAlign w:val="top"/>
          </w:tcPr>
          <w:p w14:paraId="2A79EA72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lang w:val="zh-CN"/>
              </w:rPr>
              <w:t>按招标文件要求标准</w:t>
            </w:r>
          </w:p>
        </w:tc>
      </w:tr>
      <w:tr w14:paraId="19F1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39CA09E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60" w:type="dxa"/>
            <w:vAlign w:val="center"/>
          </w:tcPr>
          <w:p w14:paraId="70B7030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交货/服务/建设地点</w:t>
            </w:r>
          </w:p>
        </w:tc>
        <w:tc>
          <w:tcPr>
            <w:tcW w:w="1340" w:type="dxa"/>
            <w:vAlign w:val="top"/>
          </w:tcPr>
          <w:p w14:paraId="0540086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重要</w:t>
            </w:r>
          </w:p>
        </w:tc>
        <w:tc>
          <w:tcPr>
            <w:tcW w:w="5640" w:type="dxa"/>
            <w:vAlign w:val="top"/>
          </w:tcPr>
          <w:p w14:paraId="639E89B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安徽信息工程学院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lang w:val="zh-CN"/>
              </w:rPr>
              <w:t>指定地点</w:t>
            </w:r>
          </w:p>
        </w:tc>
      </w:tr>
      <w:tr w14:paraId="537F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4C499FE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60" w:type="dxa"/>
            <w:vAlign w:val="center"/>
          </w:tcPr>
          <w:p w14:paraId="3BC8CE6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付款方式</w:t>
            </w:r>
          </w:p>
        </w:tc>
        <w:tc>
          <w:tcPr>
            <w:tcW w:w="1340" w:type="dxa"/>
            <w:vAlign w:val="top"/>
          </w:tcPr>
          <w:p w14:paraId="025A79D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1394C91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07CA2AC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  <w:t>重要</w:t>
            </w:r>
          </w:p>
        </w:tc>
        <w:tc>
          <w:tcPr>
            <w:tcW w:w="5640" w:type="dxa"/>
            <w:vAlign w:val="top"/>
          </w:tcPr>
          <w:p w14:paraId="05AE57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验收合格且收到供应商等额发票后，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个日历日内通过转账形式支付合同总额95%，剩余5%质保期满后付清。</w:t>
            </w:r>
          </w:p>
        </w:tc>
      </w:tr>
    </w:tbl>
    <w:p w14:paraId="4D0167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C4A90"/>
    <w:rsid w:val="486C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28"/>
    </w:rPr>
  </w:style>
  <w:style w:type="paragraph" w:styleId="3">
    <w:name w:val="Body Text 2"/>
    <w:basedOn w:val="1"/>
    <w:qFormat/>
    <w:uiPriority w:val="99"/>
    <w:pPr>
      <w:spacing w:line="340" w:lineRule="exact"/>
    </w:pPr>
    <w:rPr>
      <w:rFonts w:ascii="仿宋_GB2312" w:eastAsia="仿宋_GB2312"/>
      <w:sz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6">
    <w:name w:val="Body Text First Indent 2"/>
    <w:basedOn w:val="4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2026-07-16T07:46:00Z</dcterms:created>
  <dc:creator>神光毓逍遥</dc:creator>
  <cp:lastModifiedBy>神光毓逍遥</cp:lastModifiedBy>
  <dcterms:modified xsi:type="dcterms:W3CDTF">2026-07-16T07:47:12Z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D4AAE1975F9546A3BEE559FF61986E34_11</vt:lpwstr>
  </property>
  <property fmtid="{D5CDD505-2E9C-101B-9397-08002B2CF9AE}" pid="4" name="KSOTemplateDocerSaveRecord">
    <vt:lpwstr>eyJoZGlkIjoiYTQwMGUzY2RmNDBkMTgzMzJjMGRiZjYzODgwZDhlNDAiLCJ1c2VySWQiOiI1OTgzMzg3MTMifQ==</vt:lpwstr>
  </property>
</Properties>
</file>