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9F77A">
      <w:pPr>
        <w:adjustRightInd w:val="0"/>
        <w:snapToGrid w:val="0"/>
        <w:spacing w:line="580" w:lineRule="exact"/>
        <w:rPr>
          <w:rFonts w:hint="eastAsia" w:ascii="宋体" w:hAnsi="宋体" w:cs="宋体"/>
          <w:b/>
          <w:bCs/>
          <w:color w:val="auto"/>
          <w:sz w:val="24"/>
          <w:lang w:bidi="zh-TW"/>
        </w:rPr>
      </w:pPr>
      <w:bookmarkStart w:id="0" w:name="_GoBack"/>
      <w:bookmarkEnd w:id="0"/>
      <w:r>
        <w:rPr>
          <w:rFonts w:hint="eastAsia" w:ascii="宋体" w:hAnsi="宋体" w:cs="宋体"/>
          <w:b/>
          <w:bCs/>
          <w:color w:val="auto"/>
          <w:sz w:val="24"/>
          <w:lang w:val="en-US" w:eastAsia="zh-CN" w:bidi="zh-TW"/>
        </w:rPr>
        <w:t>附件：</w:t>
      </w:r>
      <w:r>
        <w:rPr>
          <w:rFonts w:hint="eastAsia" w:ascii="宋体" w:hAnsi="宋体" w:cs="宋体"/>
          <w:b/>
          <w:bCs/>
          <w:color w:val="auto"/>
          <w:sz w:val="24"/>
          <w:lang w:bidi="zh-TW"/>
        </w:rPr>
        <w:t>采购技术要求</w:t>
      </w:r>
    </w:p>
    <w:tbl>
      <w:tblPr>
        <w:tblStyle w:val="11"/>
        <w:tblW w:w="10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29"/>
        <w:gridCol w:w="455"/>
        <w:gridCol w:w="654"/>
        <w:gridCol w:w="7571"/>
      </w:tblGrid>
      <w:tr w14:paraId="6F7A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689D1E6B">
            <w:pPr>
              <w:spacing w:line="360" w:lineRule="auto"/>
              <w:jc w:val="center"/>
              <w:rPr>
                <w:rFonts w:cs="Times New Roman" w:asciiTheme="minorEastAsia" w:hAnsiTheme="minorEastAsia"/>
                <w:sz w:val="21"/>
                <w:szCs w:val="21"/>
              </w:rPr>
            </w:pPr>
            <w:r>
              <w:rPr>
                <w:rFonts w:hint="eastAsia" w:cs="Times New Roman" w:asciiTheme="minorEastAsia" w:hAnsiTheme="minorEastAsia"/>
                <w:sz w:val="21"/>
                <w:szCs w:val="21"/>
              </w:rPr>
              <w:t>序号</w:t>
            </w:r>
          </w:p>
        </w:tc>
        <w:tc>
          <w:tcPr>
            <w:tcW w:w="1229" w:type="dxa"/>
            <w:tcBorders>
              <w:tl2br w:val="nil"/>
              <w:tr2bl w:val="nil"/>
            </w:tcBorders>
            <w:vAlign w:val="center"/>
          </w:tcPr>
          <w:p w14:paraId="37683E0B">
            <w:pPr>
              <w:widowControl/>
              <w:spacing w:line="360" w:lineRule="auto"/>
              <w:jc w:val="center"/>
              <w:rPr>
                <w:rFonts w:cs="Times New Roman" w:asciiTheme="minorEastAsia" w:hAnsiTheme="minorEastAsia"/>
                <w:sz w:val="21"/>
                <w:szCs w:val="21"/>
              </w:rPr>
            </w:pPr>
            <w:r>
              <w:rPr>
                <w:rFonts w:hint="eastAsia" w:cs="Times New Roman" w:asciiTheme="minorEastAsia" w:hAnsiTheme="minorEastAsia"/>
                <w:sz w:val="21"/>
                <w:szCs w:val="21"/>
              </w:rPr>
              <w:t>货物</w:t>
            </w:r>
          </w:p>
          <w:p w14:paraId="23B5C83C">
            <w:pPr>
              <w:widowControl/>
              <w:spacing w:line="360" w:lineRule="auto"/>
              <w:jc w:val="center"/>
              <w:rPr>
                <w:rFonts w:cs="Times New Roman" w:asciiTheme="minorEastAsia" w:hAnsiTheme="minorEastAsia"/>
                <w:sz w:val="21"/>
                <w:szCs w:val="21"/>
              </w:rPr>
            </w:pPr>
            <w:r>
              <w:rPr>
                <w:rFonts w:hint="eastAsia" w:cs="Times New Roman" w:asciiTheme="minorEastAsia" w:hAnsiTheme="minorEastAsia"/>
                <w:sz w:val="21"/>
                <w:szCs w:val="21"/>
              </w:rPr>
              <w:t>名称</w:t>
            </w:r>
          </w:p>
        </w:tc>
        <w:tc>
          <w:tcPr>
            <w:tcW w:w="455" w:type="dxa"/>
            <w:tcBorders>
              <w:tl2br w:val="nil"/>
              <w:tr2bl w:val="nil"/>
            </w:tcBorders>
            <w:vAlign w:val="center"/>
          </w:tcPr>
          <w:p w14:paraId="518A11CC">
            <w:pPr>
              <w:widowControl/>
              <w:spacing w:line="360" w:lineRule="auto"/>
              <w:jc w:val="center"/>
              <w:rPr>
                <w:rFonts w:cs="Times New Roman" w:asciiTheme="minorEastAsia" w:hAnsiTheme="minorEastAsia"/>
                <w:sz w:val="21"/>
                <w:szCs w:val="21"/>
              </w:rPr>
            </w:pPr>
            <w:r>
              <w:rPr>
                <w:rFonts w:hint="eastAsia" w:cs="Times New Roman" w:asciiTheme="minorEastAsia" w:hAnsiTheme="minorEastAsia"/>
                <w:sz w:val="21"/>
                <w:szCs w:val="21"/>
              </w:rPr>
              <w:t>单位</w:t>
            </w:r>
          </w:p>
        </w:tc>
        <w:tc>
          <w:tcPr>
            <w:tcW w:w="654" w:type="dxa"/>
            <w:tcBorders>
              <w:tl2br w:val="nil"/>
              <w:tr2bl w:val="nil"/>
            </w:tcBorders>
            <w:vAlign w:val="center"/>
          </w:tcPr>
          <w:p w14:paraId="75336634">
            <w:pPr>
              <w:widowControl/>
              <w:spacing w:line="360" w:lineRule="auto"/>
              <w:jc w:val="center"/>
              <w:rPr>
                <w:rFonts w:cs="Times New Roman" w:asciiTheme="minorEastAsia" w:hAnsiTheme="minorEastAsia"/>
                <w:sz w:val="21"/>
                <w:szCs w:val="21"/>
              </w:rPr>
            </w:pPr>
            <w:r>
              <w:rPr>
                <w:rFonts w:hint="eastAsia" w:cs="Times New Roman" w:asciiTheme="minorEastAsia" w:hAnsiTheme="minorEastAsia"/>
                <w:sz w:val="21"/>
                <w:szCs w:val="21"/>
              </w:rPr>
              <w:t>数量</w:t>
            </w:r>
          </w:p>
        </w:tc>
        <w:tc>
          <w:tcPr>
            <w:tcW w:w="7571" w:type="dxa"/>
            <w:tcBorders>
              <w:tl2br w:val="nil"/>
              <w:tr2bl w:val="nil"/>
            </w:tcBorders>
            <w:vAlign w:val="center"/>
          </w:tcPr>
          <w:p w14:paraId="329B728B">
            <w:pPr>
              <w:widowControl/>
              <w:spacing w:line="360" w:lineRule="auto"/>
              <w:jc w:val="center"/>
              <w:rPr>
                <w:rFonts w:cs="Times New Roman" w:asciiTheme="minorEastAsia" w:hAnsiTheme="minorEastAsia"/>
                <w:sz w:val="21"/>
                <w:szCs w:val="21"/>
              </w:rPr>
            </w:pPr>
            <w:r>
              <w:rPr>
                <w:rFonts w:hint="eastAsia" w:cs="Times New Roman" w:asciiTheme="minorEastAsia" w:hAnsiTheme="minorEastAsia"/>
                <w:sz w:val="21"/>
                <w:szCs w:val="21"/>
              </w:rPr>
              <w:t>主要规格</w:t>
            </w:r>
          </w:p>
        </w:tc>
      </w:tr>
      <w:tr w14:paraId="083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7E1B59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1</w:t>
            </w:r>
          </w:p>
        </w:tc>
        <w:tc>
          <w:tcPr>
            <w:tcW w:w="1229" w:type="dxa"/>
            <w:tcBorders>
              <w:tl2br w:val="nil"/>
              <w:tr2bl w:val="nil"/>
            </w:tcBorders>
            <w:vAlign w:val="center"/>
          </w:tcPr>
          <w:p w14:paraId="28C8ED1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服务器</w:t>
            </w:r>
          </w:p>
        </w:tc>
        <w:tc>
          <w:tcPr>
            <w:tcW w:w="455" w:type="dxa"/>
            <w:tcBorders>
              <w:tl2br w:val="nil"/>
              <w:tr2bl w:val="nil"/>
            </w:tcBorders>
            <w:vAlign w:val="center"/>
          </w:tcPr>
          <w:p w14:paraId="5E3016C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台</w:t>
            </w:r>
          </w:p>
        </w:tc>
        <w:tc>
          <w:tcPr>
            <w:tcW w:w="654" w:type="dxa"/>
            <w:tcBorders>
              <w:tl2br w:val="nil"/>
              <w:tr2bl w:val="nil"/>
            </w:tcBorders>
            <w:vAlign w:val="center"/>
          </w:tcPr>
          <w:p w14:paraId="073F74B7">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w:t>
            </w:r>
          </w:p>
        </w:tc>
        <w:tc>
          <w:tcPr>
            <w:tcW w:w="7571" w:type="dxa"/>
            <w:tcBorders>
              <w:tl2br w:val="nil"/>
              <w:tr2bl w:val="nil"/>
            </w:tcBorders>
            <w:vAlign w:val="center"/>
          </w:tcPr>
          <w:p w14:paraId="201CD2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1、2路机架式服务器，含导轨；</w:t>
            </w:r>
          </w:p>
          <w:p w14:paraId="376B59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2、2颗CPU，单颗核心数≥12，主频≥2.1GHz；</w:t>
            </w:r>
          </w:p>
          <w:p w14:paraId="31C36F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3、内存：≥64G；</w:t>
            </w:r>
          </w:p>
          <w:p w14:paraId="4BAA6E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4、硬盘：≥4块480GB SSD 硬盘；</w:t>
            </w:r>
          </w:p>
          <w:p w14:paraId="2C26C9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5、支持 RAID 0,1,5,6,10,50,60 等多种模式，缓存≥1GB阵列卡；</w:t>
            </w:r>
          </w:p>
          <w:p w14:paraId="427F5A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6、1块10G 双口万兆网卡，配备光模块；</w:t>
            </w:r>
          </w:p>
          <w:p w14:paraId="5E936E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7、电源：≥500W，1+1 热插拔冗余电源；</w:t>
            </w:r>
          </w:p>
          <w:p w14:paraId="3D9894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8、质保不低于三年；</w:t>
            </w:r>
          </w:p>
        </w:tc>
      </w:tr>
      <w:tr w14:paraId="4381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45F7E074">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w:t>
            </w:r>
          </w:p>
        </w:tc>
        <w:tc>
          <w:tcPr>
            <w:tcW w:w="1229" w:type="dxa"/>
            <w:tcBorders>
              <w:tl2br w:val="nil"/>
              <w:tr2bl w:val="nil"/>
            </w:tcBorders>
            <w:vAlign w:val="center"/>
          </w:tcPr>
          <w:p w14:paraId="5D67175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学生终端</w:t>
            </w:r>
          </w:p>
        </w:tc>
        <w:tc>
          <w:tcPr>
            <w:tcW w:w="455" w:type="dxa"/>
            <w:tcBorders>
              <w:tl2br w:val="nil"/>
              <w:tr2bl w:val="nil"/>
            </w:tcBorders>
            <w:vAlign w:val="center"/>
          </w:tcPr>
          <w:p w14:paraId="7A21354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台</w:t>
            </w:r>
          </w:p>
        </w:tc>
        <w:tc>
          <w:tcPr>
            <w:tcW w:w="654" w:type="dxa"/>
            <w:tcBorders>
              <w:tl2br w:val="nil"/>
              <w:tr2bl w:val="nil"/>
            </w:tcBorders>
            <w:vAlign w:val="center"/>
          </w:tcPr>
          <w:p w14:paraId="0E5BDFC8">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120</w:t>
            </w:r>
          </w:p>
        </w:tc>
        <w:tc>
          <w:tcPr>
            <w:tcW w:w="7571" w:type="dxa"/>
            <w:tcBorders>
              <w:tl2br w:val="nil"/>
              <w:tr2bl w:val="nil"/>
            </w:tcBorders>
            <w:vAlign w:val="center"/>
          </w:tcPr>
          <w:p w14:paraId="74E1CD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1、CPU：Intel酷睿I3 12代及以上处理器；</w:t>
            </w:r>
          </w:p>
          <w:p w14:paraId="13E312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2、内存：≥16GB；</w:t>
            </w:r>
          </w:p>
          <w:p w14:paraId="73526B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3、硬盘：≥512G固态硬盘；</w:t>
            </w:r>
          </w:p>
          <w:p w14:paraId="669936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4、显卡：集成显卡；</w:t>
            </w:r>
          </w:p>
          <w:p w14:paraId="704BCB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5、声卡：集成声卡芯片；</w:t>
            </w:r>
          </w:p>
          <w:p w14:paraId="2FBD04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6、键鼠：防水键盘，抗菌鼠标；</w:t>
            </w:r>
          </w:p>
        </w:tc>
      </w:tr>
      <w:tr w14:paraId="0535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1228F4A1">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3</w:t>
            </w:r>
          </w:p>
        </w:tc>
        <w:tc>
          <w:tcPr>
            <w:tcW w:w="1229" w:type="dxa"/>
            <w:tcBorders>
              <w:tl2br w:val="nil"/>
              <w:tr2bl w:val="nil"/>
            </w:tcBorders>
            <w:vAlign w:val="center"/>
          </w:tcPr>
          <w:p w14:paraId="34F7FD0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显示器</w:t>
            </w:r>
          </w:p>
        </w:tc>
        <w:tc>
          <w:tcPr>
            <w:tcW w:w="455" w:type="dxa"/>
            <w:tcBorders>
              <w:tl2br w:val="nil"/>
              <w:tr2bl w:val="nil"/>
            </w:tcBorders>
            <w:vAlign w:val="center"/>
          </w:tcPr>
          <w:p w14:paraId="29B7734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台</w:t>
            </w:r>
          </w:p>
        </w:tc>
        <w:tc>
          <w:tcPr>
            <w:tcW w:w="654" w:type="dxa"/>
            <w:tcBorders>
              <w:tl2br w:val="nil"/>
              <w:tr2bl w:val="nil"/>
            </w:tcBorders>
            <w:vAlign w:val="center"/>
          </w:tcPr>
          <w:p w14:paraId="06367A7A">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80</w:t>
            </w:r>
          </w:p>
        </w:tc>
        <w:tc>
          <w:tcPr>
            <w:tcW w:w="7571" w:type="dxa"/>
            <w:tcBorders>
              <w:tl2br w:val="nil"/>
              <w:tr2bl w:val="nil"/>
            </w:tcBorders>
            <w:vAlign w:val="center"/>
          </w:tcPr>
          <w:p w14:paraId="3B05B9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显示器：≥23.8寸LED显示器，分辨率≥1920×1080</w:t>
            </w:r>
          </w:p>
        </w:tc>
      </w:tr>
      <w:tr w14:paraId="175D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67FC68C1">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4</w:t>
            </w:r>
          </w:p>
        </w:tc>
        <w:tc>
          <w:tcPr>
            <w:tcW w:w="1229" w:type="dxa"/>
            <w:tcBorders>
              <w:tl2br w:val="nil"/>
              <w:tr2bl w:val="nil"/>
            </w:tcBorders>
            <w:vAlign w:val="center"/>
          </w:tcPr>
          <w:p w14:paraId="5C367EA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教师终端</w:t>
            </w:r>
          </w:p>
        </w:tc>
        <w:tc>
          <w:tcPr>
            <w:tcW w:w="455" w:type="dxa"/>
            <w:tcBorders>
              <w:tl2br w:val="nil"/>
              <w:tr2bl w:val="nil"/>
            </w:tcBorders>
            <w:vAlign w:val="center"/>
          </w:tcPr>
          <w:p w14:paraId="4CDBEA1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台</w:t>
            </w:r>
          </w:p>
        </w:tc>
        <w:tc>
          <w:tcPr>
            <w:tcW w:w="654" w:type="dxa"/>
            <w:tcBorders>
              <w:tl2br w:val="nil"/>
              <w:tr2bl w:val="nil"/>
            </w:tcBorders>
            <w:vAlign w:val="center"/>
          </w:tcPr>
          <w:p w14:paraId="604869EA">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w:t>
            </w:r>
          </w:p>
        </w:tc>
        <w:tc>
          <w:tcPr>
            <w:tcW w:w="7571" w:type="dxa"/>
            <w:tcBorders>
              <w:tl2br w:val="nil"/>
              <w:tr2bl w:val="nil"/>
            </w:tcBorders>
            <w:vAlign w:val="center"/>
          </w:tcPr>
          <w:p w14:paraId="1F03EE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1、CPU：Intel酷睿i5 12代及以上处理器；</w:t>
            </w:r>
          </w:p>
          <w:p w14:paraId="2EA734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2、内存：≥16GB；</w:t>
            </w:r>
          </w:p>
          <w:p w14:paraId="3DEFDD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3、硬盘：≥1T固态硬盘；</w:t>
            </w:r>
          </w:p>
          <w:p w14:paraId="729AB0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4、显卡：独立显卡，显存≥4G；</w:t>
            </w:r>
          </w:p>
          <w:p w14:paraId="782145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5、声卡：集成声卡芯片；</w:t>
            </w:r>
          </w:p>
          <w:p w14:paraId="7F9813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6、键鼠：防水键盘，抗菌鼠标；</w:t>
            </w:r>
          </w:p>
          <w:p w14:paraId="017EC5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7、质保：质保不低于三年；</w:t>
            </w:r>
          </w:p>
        </w:tc>
      </w:tr>
      <w:tr w14:paraId="7BDD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1481EC4E">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5</w:t>
            </w:r>
          </w:p>
        </w:tc>
        <w:tc>
          <w:tcPr>
            <w:tcW w:w="1229" w:type="dxa"/>
            <w:tcBorders>
              <w:tl2br w:val="nil"/>
              <w:tr2bl w:val="nil"/>
            </w:tcBorders>
            <w:vAlign w:val="center"/>
          </w:tcPr>
          <w:p w14:paraId="5E6FF7F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98寸智慧黑板</w:t>
            </w:r>
          </w:p>
        </w:tc>
        <w:tc>
          <w:tcPr>
            <w:tcW w:w="455" w:type="dxa"/>
            <w:tcBorders>
              <w:tl2br w:val="nil"/>
              <w:tr2bl w:val="nil"/>
            </w:tcBorders>
            <w:vAlign w:val="center"/>
          </w:tcPr>
          <w:p w14:paraId="284BCA8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台</w:t>
            </w:r>
          </w:p>
        </w:tc>
        <w:tc>
          <w:tcPr>
            <w:tcW w:w="654" w:type="dxa"/>
            <w:tcBorders>
              <w:tl2br w:val="nil"/>
              <w:tr2bl w:val="nil"/>
            </w:tcBorders>
            <w:vAlign w:val="center"/>
          </w:tcPr>
          <w:p w14:paraId="2AA5E8CA">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w:t>
            </w:r>
          </w:p>
        </w:tc>
        <w:tc>
          <w:tcPr>
            <w:tcW w:w="7571" w:type="dxa"/>
            <w:tcBorders>
              <w:tl2br w:val="nil"/>
              <w:tr2bl w:val="nil"/>
            </w:tcBorders>
            <w:vAlign w:val="center"/>
          </w:tcPr>
          <w:p w14:paraId="6817A2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一、整机规格</w:t>
            </w:r>
          </w:p>
          <w:p w14:paraId="72EE2F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1、整机尺寸≥4800mm×1300mm，中间屏幕采用LED液晶屏体A规屏，显示尺寸98英寸，显示比例16:9，物理分辨率≥3840×2160；</w:t>
            </w:r>
          </w:p>
          <w:p w14:paraId="38C137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2、屏幕表面采用3.0mm厚度防眩钢化玻璃，玻璃采用微米级颗粒蚀刻AG 工艺，玻璃硬度≥莫氏7级，可达到石英抗划等级，屏体表面强度≥100Mpa；</w:t>
            </w:r>
          </w:p>
          <w:p w14:paraId="5021D8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3、屏体亮度≥400cd/㎡，屏体对比度≥5000:1，最大可视角度178度，触控分辨率≥32768*32768，像素间距0.4935×0.4935；</w:t>
            </w:r>
          </w:p>
          <w:p w14:paraId="2D463B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 xml:space="preserve">4、采用三段式一体化设计，显示部分边框采用金属包边防护，背部整板采用高强度镀锌钢板材质，整块厚度≥1mm； </w:t>
            </w:r>
          </w:p>
          <w:p w14:paraId="432ABE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二、触控与硬件配置要求</w:t>
            </w:r>
          </w:p>
          <w:p w14:paraId="16316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*1、采用电容触控技术，视线距离屏体10cm处，表面无可见金属条纹，在 Windows、Android、国产化系统下均支持50 点触控及书写划线；（提供第三方检测机构出具的产品合格检测报告复印件并加盖厂家公章）</w:t>
            </w:r>
          </w:p>
          <w:p w14:paraId="593526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*2、采用国产化12核驱动芯片，CPU配置不低于8核A55，GPU配置不低于4核G52，系统版本不低于14.0，RAM不小于8G，ROM不小于64G；（提供第三方检测机构出具的产品合格检测报告复印件并加盖厂家公章）</w:t>
            </w:r>
          </w:p>
          <w:p w14:paraId="1B8BB3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3、前置全功能Type-C接口具备音频、视频、数据、触控、充电等功能，外接电脑可调用交互设备麦克风、音响、摄像头等数据；</w:t>
            </w:r>
          </w:p>
          <w:p w14:paraId="0077C2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*4、前置接口具备中文丝印标识，均为非转接接口，至少包含USB Type-C×1，双通道USB 3.0×2(系统均能被识别，无需区分)，HDMI IN×1高清；后置接口至少包含：USB 2.0×2，RS232×1，RJ45×1，HDMI 2.0高清输入×2，HDMI输出×1（支持安卓及其他通道信号输出），触控USB×1，音频输出Audio out×1；（提供第三方检测机构出具的产品合格检测报告复印件并加盖厂家公章）</w:t>
            </w:r>
          </w:p>
          <w:p w14:paraId="65E1CB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 xml:space="preserve">5、前置组合式针孔电脑还原物理按键，具有中文标识； </w:t>
            </w:r>
          </w:p>
          <w:p w14:paraId="2AB360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6、前置8个物理快捷按键，可实现录课、音量调节、关闭顶层窗口、截屏等功能；</w:t>
            </w:r>
          </w:p>
          <w:p w14:paraId="052925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7、电源键具备多合一功能，可实现显示器电源开关、电脑开关、辅助电脑系统还原、节能息屏等操作；</w:t>
            </w:r>
          </w:p>
          <w:p w14:paraId="683C2D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8、无需打开背板，前置接口面板、前置按键面板屏体主板、屏体电源板、扬声器分别支持单独前拆，另具有前掀式维护功能，整体向上掀起角度≥30°；（提供第三方检测机构出具的产品合格检测报告复印件并加盖厂家公章）</w:t>
            </w:r>
          </w:p>
          <w:p w14:paraId="0B0107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9、内置Wi-Fi6无线网卡，在国产化系统下，可实现Wi-Fi无线上网连接、AP无线热点发射，在国产化系统下支持无线设备同时连接数量≥32个,支持自定义设置热点名称和密码，传输距离≥12米；</w:t>
            </w:r>
          </w:p>
          <w:p w14:paraId="2220A0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10、内置蓝牙5.4模块，工作距离≥12米，在Windows系统下，交互设备可通过蓝牙模块与蓝牙音箱连接，播放交互设备音频，同时支持与具有蓝牙功能的手机连接，进行文件传输；</w:t>
            </w:r>
          </w:p>
          <w:p w14:paraId="5DDA95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11、采用针孔阵列发声设计，具备2.2声道，下边框具有6个发声单元，其中2个前置额定15W中高音音箱（含4个发声单元），1个额定30W箱体，总额定功率≥60W，峰值功率最高可达80W，可单独对高音、低音、平衡音进行调整；</w:t>
            </w:r>
          </w:p>
          <w:p w14:paraId="2D0D8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12、内置 5K 超高清一体化摄像头，置于交互设备上方中心位置，支持≥1900W有效像素的视频采集，可输出最大分辨率≥5104*3864的图片与视频，支持2D降噪，支持扫描二维码功能，支持搭配 AI软件使用，支持远程巡课系统；</w:t>
            </w:r>
          </w:p>
          <w:p w14:paraId="4EC9E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13、内置8阵列麦克风，拾音角度180°，全向拾音距离最大可达12米；</w:t>
            </w:r>
          </w:p>
          <w:p w14:paraId="4AE5F5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14、具备无线扩音功能，与交互设备对频后，可通过交互设备内置音箱扩声，支持自动混音，采用无线MIC输入接口，与交互设备接入的其他多媒体信号可自动进行混音后通过屏体内置音箱播出，具备独立扩声系统，在交互设备通电关机的情况下接入无线MIC，仍可以通过交互设备音箱实现扩声功能。（提供第三方检测机构出具的产品合格检测报告复印件并加盖厂家公章）</w:t>
            </w:r>
          </w:p>
          <w:p w14:paraId="3057BF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15、支持声音模式调节，可根据不同使用场景将声音模式设置为标准模式、会议模式、影院模式、教室模式、与自定义模式；</w:t>
            </w:r>
          </w:p>
          <w:p w14:paraId="75DA0D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*16、为保障售后服务，提供制造商厂商针对本项目三年免费售后服务承诺函并加盖厂商公章；</w:t>
            </w:r>
          </w:p>
          <w:p w14:paraId="1728A1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三、视力保护要求</w:t>
            </w:r>
          </w:p>
          <w:p w14:paraId="6FF263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1、屏体具有物理防蓝光功能，无需其他操作即可达到蓝光防护效果；</w:t>
            </w:r>
          </w:p>
          <w:p w14:paraId="25AF3A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2、支持DC调光，直流信号控制背光亮度，实现稳定光源无频闪，使用摄像设备拍摄时画面无条纹闪烁，支持多级亮度调节；</w:t>
            </w:r>
          </w:p>
          <w:p w14:paraId="46B3F1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3、整机在源头减少有害蓝光波段能量，有害蓝光波长415-455nm≤30%，低蓝光模式屏幕色温无变化；</w:t>
            </w:r>
          </w:p>
          <w:p w14:paraId="67D8B2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4、全通道支持纸质护眼模式，可实现画面纹理的实时调整；</w:t>
            </w:r>
          </w:p>
          <w:p w14:paraId="07B3C4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四、电脑模块及电子教鞭</w:t>
            </w:r>
          </w:p>
          <w:p w14:paraId="156A73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1、OPS内置电脑核心数≥8核，主频≥2.0GHz，配置不低于i5标准，内存≥8GB DDR4，硬盘≥256GB SSD；</w:t>
            </w:r>
          </w:p>
          <w:p w14:paraId="41CFC3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2、电脑模块可抽拉式插入整机，实现无单独接线的插拔；</w:t>
            </w:r>
          </w:p>
          <w:p w14:paraId="48A7F5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3、整机的连接采用万兆级接口，传输速率≥10Gbps；</w:t>
            </w:r>
          </w:p>
          <w:p w14:paraId="1D0F95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4、采用导电布+硅胶材质笔头，每支搭配3个可替换笔头，笔身具备不少于五个按键，</w:t>
            </w:r>
          </w:p>
          <w:p w14:paraId="0A298C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5、支持上下翻页、激光、音量调节、聚光灯、放大镜、标注、擦除划线、PPT播放及退出播放、黑屏、飞鼠等基础功能；</w:t>
            </w:r>
          </w:p>
          <w:p w14:paraId="24A756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6、支持扩声、语音识别、语音翻译等扩展功能；</w:t>
            </w:r>
          </w:p>
          <w:p w14:paraId="630323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*7、教鞭具备一笔一码，支持PC端平台查看设备信息，支持老师在移动端平台查看绑定的产品信息、设备种类、型号、管理员信息、班级信息、技术员信息、设备状态等；（提供功能截图）</w:t>
            </w:r>
          </w:p>
        </w:tc>
      </w:tr>
      <w:tr w14:paraId="662D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B0EA49C">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6</w:t>
            </w:r>
          </w:p>
        </w:tc>
        <w:tc>
          <w:tcPr>
            <w:tcW w:w="1229" w:type="dxa"/>
            <w:tcBorders>
              <w:tl2br w:val="nil"/>
              <w:tr2bl w:val="nil"/>
            </w:tcBorders>
            <w:vAlign w:val="center"/>
          </w:tcPr>
          <w:p w14:paraId="7E521D9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学生机管控系统（管理端）</w:t>
            </w:r>
          </w:p>
        </w:tc>
        <w:tc>
          <w:tcPr>
            <w:tcW w:w="455" w:type="dxa"/>
            <w:tcBorders>
              <w:tl2br w:val="nil"/>
              <w:tr2bl w:val="nil"/>
            </w:tcBorders>
            <w:vAlign w:val="center"/>
          </w:tcPr>
          <w:p w14:paraId="7B8523D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套</w:t>
            </w:r>
          </w:p>
        </w:tc>
        <w:tc>
          <w:tcPr>
            <w:tcW w:w="654" w:type="dxa"/>
            <w:tcBorders>
              <w:tl2br w:val="nil"/>
              <w:tr2bl w:val="nil"/>
            </w:tcBorders>
            <w:vAlign w:val="center"/>
          </w:tcPr>
          <w:p w14:paraId="4D64F45D">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w:t>
            </w:r>
          </w:p>
        </w:tc>
        <w:tc>
          <w:tcPr>
            <w:tcW w:w="7571" w:type="dxa"/>
            <w:tcBorders>
              <w:tl2br w:val="nil"/>
              <w:tr2bl w:val="nil"/>
            </w:tcBorders>
            <w:vAlign w:val="center"/>
          </w:tcPr>
          <w:p w14:paraId="68E06F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1、基于WEB可视化界面管理，单台管理服务器可支持对VDI、VOI两种架构以及虚实双系统的统一管理，支持麒麟、统信等国产操作系统；</w:t>
            </w:r>
          </w:p>
          <w:p w14:paraId="3B1CD2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可对VDI和VOI云桌面、终端、电子教学软件、用户、基础镜像等进行统一管理，在一个Web平台上即可完成VDI和VOI云桌面基础镜像上传、模板创建、发布、用户创建、云终端管理、电子教学软件配置更新等操作；(提供软件功能截图证明）</w:t>
            </w:r>
          </w:p>
          <w:p w14:paraId="5E479C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3、支持通过集群功能实现负载均衡，当主控服务器出现宕机或网络故障时，备控自动切换为主控，实现会话切换不中断，无需增加第三方控制器；</w:t>
            </w:r>
          </w:p>
          <w:p w14:paraId="5525BD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*4、支持VDI、VOI融合架构下的教学和个人桌面两种管理模式，教学桌面和个人桌面管理功能和界面上需独立拆分；(提供软件功能截图证明）</w:t>
            </w:r>
          </w:p>
          <w:p w14:paraId="6D978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5、支持VDI教学模板创建、编辑、删除、复制、下载、开关机等，模板可转让和共享给不同的管理员；可对模板的磁盘文件进行签名和文件校验，不完整的磁盘文件可实现重传；</w:t>
            </w:r>
          </w:p>
          <w:p w14:paraId="11D00F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6、支持VOI教学模板创建、编辑、删除、复制、下载、开关机、种子生成等，模板可转让、共享和链接分享给不同的管理员；可对模板的磁盘文件进行查看，可对系统镜像和数据镜像重新生成种子；(提供软件功能截图证明）</w:t>
            </w:r>
          </w:p>
          <w:p w14:paraId="22A5CF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*7、支持配置VDI、VOI教学模板内安装的软件清单，在终端系统选择界面可显示每个桌面对应的软件清单描述信息；(提供软件功能截图证明）</w:t>
            </w:r>
          </w:p>
          <w:p w14:paraId="44CB63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8、支持自定义云桌面显示传输协议模式，可根据服务器和终端配置选择矢量模式或流模式；(提供软件功能截图证明）</w:t>
            </w:r>
          </w:p>
          <w:p w14:paraId="06041C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9、支持创建、删除、编辑VOI场景分组，可对组中的VOI桌面的系统盘和数据盘分别进行还原属性的编辑，可预设系统盘预留空间和数据盘预留空间；模板更新可选择增量、覆盖等不同的更新模式；可配置VOI终端的网络模式，支持开启或禁用将客户端IP作为桌面IP；(提供软件功能截图证明）</w:t>
            </w:r>
          </w:p>
          <w:p w14:paraId="538C55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10、支持设置虚实双系统，可指定开机默认进入VDI虚系统或VOI实系统；默认进入VDI虚系统时，可选择VDI断网后自动、手动、不切换到VOI实系统，选择自动切换时，可选择设置VDI允许的网络时延；(提供软件功能截图证明）</w:t>
            </w:r>
          </w:p>
          <w:p w14:paraId="1B5686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 xml:space="preserve">11、VDI教学桌面支持排课功能，可设置学期、支持按分组、教学场景进行教学排课，根据课表时间自动启动； </w:t>
            </w:r>
          </w:p>
          <w:p w14:paraId="677492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*12、VDI终端可通过管理平台设置电子教学软件的顶层服务IP、教室编号、教学分组、组播IP、组播端口、组播模式等，组播模式包括但不限于流模式和矢量模式；(提供软件功能截图证明）</w:t>
            </w:r>
          </w:p>
          <w:p w14:paraId="27873D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*13、支持对VOI终端批量进行维护，包括进入维护模式、清空所有桌面、下发桌面、取消下发、删除特定桌面、指定TCP模式下发桌面等；(提供软件功能截图证明）</w:t>
            </w:r>
          </w:p>
          <w:p w14:paraId="40DE72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14、支持对VOI终端添加数据盘，可设置数据盘大小和清空模式，数据盘可选择多个桌面组进行共享；</w:t>
            </w:r>
          </w:p>
          <w:p w14:paraId="275942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15、教师端屏幕广播时采用终端本地网络，无需占用云桌面网络带宽，云桌面断开连接时，不影响屏幕广播的正常使用；(提供软件功能截图证明）</w:t>
            </w:r>
          </w:p>
          <w:p w14:paraId="69F0F2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16、支持对VOI终端进行批量桌面切换、进入或退出编辑模式，编辑模式下可实现还原桌面不还原，同时可根据需求批量清除编辑模式下产生的数据；</w:t>
            </w:r>
          </w:p>
          <w:p w14:paraId="0F32C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*17、VOI终端可通过管理平台批量设置教室号、教师机IP、顶层服务IP、频道号、角色标识，角色可选择学生终端或教师终端；(提供软件功能截图证明）</w:t>
            </w:r>
          </w:p>
          <w:p w14:paraId="13AF3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18、支持对多个VOI分组或教室进行批量操作，操作内容包括但不限于维护、下发、取消、清空、启用监控、关闭监控；(提供软件功能截图证明）</w:t>
            </w:r>
          </w:p>
          <w:p w14:paraId="166EBF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*19、支持对所选终端或分组内所有终端导出MAC地址信息，方便终端硬件地址的收集和汇总；(提供软件功能截图证明）</w:t>
            </w:r>
          </w:p>
          <w:p w14:paraId="7552CE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20、支持对平台的数据进行备份，自动备份时可设置备份文件数量、路径、周期和执行时间，备份周期最长可选择按月备份，执行时间可精确分钟；</w:t>
            </w:r>
          </w:p>
          <w:p w14:paraId="55541F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21、支持分权管理，可对不同的管理员提供不同的管理权限，权限可精确到每个模块的相关功能；</w:t>
            </w:r>
          </w:p>
          <w:p w14:paraId="653112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22、可设置云桌面、服务器、终端进行定时关机任务，可批量设置关机的执行周期和执行时间，执行时间每分钟；</w:t>
            </w:r>
          </w:p>
          <w:p w14:paraId="12FE0A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*23、支持对平台进行整体升级和模块升级，执行模块升级时可选择管理平台、顶层服务、BT服务、协议库等模块进行独立升级；(提供软件功能截图证明）</w:t>
            </w:r>
          </w:p>
          <w:p w14:paraId="2E8041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*24、支持管理平台开启或关闭维护模式，实现管理员在计划内进行有效升级维护；(提供软件功能截图证明）</w:t>
            </w:r>
          </w:p>
          <w:p w14:paraId="737889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25、云桌面多系统时，教师端可一键控制学生进入指定的云桌面，提供选择进入指定桌面的功能界面截图；</w:t>
            </w:r>
          </w:p>
          <w:p w14:paraId="17CE5D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*26、管控系统需支持120台终端集中统一管控，系统软件不少于三年免费升级服务，提供厂商售后服务函并加盖公章；</w:t>
            </w:r>
          </w:p>
          <w:p w14:paraId="2216B1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*27、为简化管理，投标产品必须与采购人现有的机房统一管理软件平台无缝对接，实现所有教学管理相关数据在机房统一管理软件平台统一部署及升级，提供厂商承诺函并加盖公章。</w:t>
            </w:r>
          </w:p>
        </w:tc>
      </w:tr>
      <w:tr w14:paraId="608A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9E51089">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7</w:t>
            </w:r>
          </w:p>
        </w:tc>
        <w:tc>
          <w:tcPr>
            <w:tcW w:w="1229" w:type="dxa"/>
            <w:tcBorders>
              <w:tl2br w:val="nil"/>
              <w:tr2bl w:val="nil"/>
            </w:tcBorders>
            <w:vAlign w:val="center"/>
          </w:tcPr>
          <w:p w14:paraId="38E5829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学生机管控系统（学生端）</w:t>
            </w:r>
          </w:p>
        </w:tc>
        <w:tc>
          <w:tcPr>
            <w:tcW w:w="455" w:type="dxa"/>
            <w:tcBorders>
              <w:tl2br w:val="nil"/>
              <w:tr2bl w:val="nil"/>
            </w:tcBorders>
            <w:vAlign w:val="center"/>
          </w:tcPr>
          <w:p w14:paraId="77DCFF2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点位</w:t>
            </w:r>
          </w:p>
        </w:tc>
        <w:tc>
          <w:tcPr>
            <w:tcW w:w="654" w:type="dxa"/>
            <w:tcBorders>
              <w:tl2br w:val="nil"/>
              <w:tr2bl w:val="nil"/>
            </w:tcBorders>
            <w:vAlign w:val="center"/>
          </w:tcPr>
          <w:p w14:paraId="456D87C6">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120</w:t>
            </w:r>
          </w:p>
        </w:tc>
        <w:tc>
          <w:tcPr>
            <w:tcW w:w="7571" w:type="dxa"/>
            <w:tcBorders>
              <w:tl2br w:val="nil"/>
              <w:tr2bl w:val="nil"/>
            </w:tcBorders>
            <w:vAlign w:val="center"/>
          </w:tcPr>
          <w:p w14:paraId="637FDE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1、支持在登录界面即可查看云桌面中所安装的软件信息，无需进入云桌面系统；</w:t>
            </w:r>
          </w:p>
          <w:p w14:paraId="1EB5B1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*2、可通过终端程序可对电子教学软件参数进行配置，可设置教师机标识为教师终端、学生终端；教室号、教师机IP、顶层服务IP、频道号；；(提供软件功能截图证明）</w:t>
            </w:r>
          </w:p>
          <w:p w14:paraId="22F3FE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3、支持离线启动，当环境中网络故障或服务器故障时，终端能正常进入桌面系统和使用；</w:t>
            </w:r>
          </w:p>
          <w:p w14:paraId="225734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4、终端可手动进入或退出维护模式，针对还原桌面进入维护模式后可保存桌面在使用过程中的数据不还原；</w:t>
            </w:r>
          </w:p>
          <w:p w14:paraId="7E046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5、可在终端客户端中进入命令行、同步默认桌面、取消同步、重装终端等操作；(提供软件功能截图证明）</w:t>
            </w:r>
          </w:p>
          <w:p w14:paraId="42769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*6、支持终端清除数据功能，将不还原桌面、还原桌面进入维护模式下保存的系统设置和数据进行一键还原；(提供软件功能截图证明）</w:t>
            </w:r>
          </w:p>
          <w:p w14:paraId="31F734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7、在终端设置界面，可以手动删除单个桌面或所有桌面，无需通过管理平台下发指令；</w:t>
            </w:r>
          </w:p>
          <w:p w14:paraId="76366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*8、终端支持检测/修复磁盘工具，当终端因为其他异常情况出现磁盘故障时，可通过该工具实现一键检测和修复；(提供软件功能截图证明）</w:t>
            </w:r>
          </w:p>
          <w:p w14:paraId="096819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9、支持样机上传功能，在终端安装好系统之后，通过Windows客户端可以将当前终端系统上传为服务器模板，进行批量部署；</w:t>
            </w:r>
          </w:p>
          <w:p w14:paraId="111E69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10、支持教师\学生机角色自动识别，即系统基于终端的教师\学生机角色自动识别教师\学生角色，无需提前在系统模板中设置，方便当教学过程中教师机故障后，无需修改模板等其他操作，选择任意一台学生机一键切换为教师机即可继续教学。提供软件功能截图证明；</w:t>
            </w:r>
          </w:p>
          <w:p w14:paraId="7025CB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11、支持静默更新功能，终端处于开机使用过程中，监控到后台模板有更新，可在不影响现有使用情况下进行自动更新；</w:t>
            </w:r>
          </w:p>
          <w:p w14:paraId="79B29D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*12、本地系统和桌面系统电教软件为同一个安装程序，只需通过程序运行环境和身份识别即可区分当前运行位置与角色，提供软件功能截图证明；</w:t>
            </w:r>
          </w:p>
          <w:p w14:paraId="5E39FA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13、支持服务器关机状态下的终端辅助批量部署，包括系统程序的批量部署、服务器参数批量设置和序号的批量设置；(提供软件功能截图证明）</w:t>
            </w:r>
          </w:p>
          <w:p w14:paraId="426409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14、支持终端桌面更新过程中的断点续传，有效处理各种异常关机、断电、断网等引起的中断，减少用户不必要的重复性操作与等待时间。当客户端开机或网络连接恢复正常时，服务端自动发现客户端并继续更新，无须手工干预；</w:t>
            </w:r>
          </w:p>
          <w:p w14:paraId="11D6AE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15、支持终端虚拟磁盘部署多个相同或不相同的系统及软件环境，各系统完全相互独立，且同时显示于引导选单上，实现一机多用。可指定引导选单上的任意系统作为默认引导系统；</w:t>
            </w:r>
          </w:p>
          <w:p w14:paraId="49B18F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*16、支持管理平台对单台终端或所有终端发送消息，终端的消息提示框可设置指定时间消失或需要手动关闭；(提供软件功能截图证明）</w:t>
            </w:r>
          </w:p>
          <w:p w14:paraId="0314DB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17、支持Windows系统在线屏幕水印功能，桌面右上角置顶显示当前桌面信息水印（不会被其他窗口覆盖）内容包括当前桌面计算机名，终端序号，桌面IP等信息，便于管理员维护时快速查找对应的终端；</w:t>
            </w:r>
          </w:p>
          <w:p w14:paraId="57355C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*18、当终端和服务器端网络异常时，教师还可以通过终端教学软件进行作业收发功能。文件发送可设置发送到桌面或终端，提供软件功能截图证明；</w:t>
            </w:r>
          </w:p>
        </w:tc>
      </w:tr>
      <w:tr w14:paraId="40DE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330D92EE">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8</w:t>
            </w:r>
          </w:p>
        </w:tc>
        <w:tc>
          <w:tcPr>
            <w:tcW w:w="1229" w:type="dxa"/>
            <w:tcBorders>
              <w:tl2br w:val="nil"/>
              <w:tr2bl w:val="nil"/>
            </w:tcBorders>
            <w:vAlign w:val="center"/>
          </w:tcPr>
          <w:p w14:paraId="3488ADE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电教软件</w:t>
            </w:r>
          </w:p>
        </w:tc>
        <w:tc>
          <w:tcPr>
            <w:tcW w:w="455" w:type="dxa"/>
            <w:tcBorders>
              <w:tl2br w:val="nil"/>
              <w:tr2bl w:val="nil"/>
            </w:tcBorders>
            <w:vAlign w:val="center"/>
          </w:tcPr>
          <w:p w14:paraId="17F832B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套</w:t>
            </w:r>
          </w:p>
        </w:tc>
        <w:tc>
          <w:tcPr>
            <w:tcW w:w="654" w:type="dxa"/>
            <w:tcBorders>
              <w:tl2br w:val="nil"/>
              <w:tr2bl w:val="nil"/>
            </w:tcBorders>
            <w:vAlign w:val="center"/>
          </w:tcPr>
          <w:p w14:paraId="1097C4D9">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w:t>
            </w:r>
          </w:p>
        </w:tc>
        <w:tc>
          <w:tcPr>
            <w:tcW w:w="7571" w:type="dxa"/>
            <w:tcBorders>
              <w:tl2br w:val="nil"/>
              <w:tr2bl w:val="nil"/>
            </w:tcBorders>
            <w:vAlign w:val="center"/>
          </w:tcPr>
          <w:p w14:paraId="0AB5C3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1、安装部署快捷，升级简易方便，全中文人性化界面设计，配有详细的在线帮助、支持主窗口功能按钮、浮动工具条等操作方式；</w:t>
            </w:r>
          </w:p>
          <w:p w14:paraId="1FC57B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2、支持软件防杀进程、断线保护、卸载密码保护等功能，支持Windows系列操作系统和Linux操作系统部署；</w:t>
            </w:r>
          </w:p>
          <w:p w14:paraId="0DBC8E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3、采用流媒体技术，实现教师机播放的视频同步广播到学生机，且达到流畅无延时，支持常见的媒体音视频格式， Windows Media文件、VCD文件、DVD文件、Real文件、AVI文件、MP3等主流文件格式，支持720p、1080p的高清视频；</w:t>
            </w:r>
          </w:p>
          <w:p w14:paraId="18E7D0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支持云桌面教师\学生机角色自动识别，即云桌面基于终端的教师\学生机角色自动识别云桌面教师\学生角色，无需提前在云桌面模板中设置，方便当教学过程中教师机故障后，无需修改模板等其他操作，选择任意一台学生机一键切换为教师机即可继续教学，提供软件功能截图证明；</w:t>
            </w:r>
          </w:p>
          <w:p w14:paraId="09286D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5、支持将教师机屏幕实时广播给单一、部分或全体学生，可选择全屏或窗口方式。</w:t>
            </w:r>
          </w:p>
          <w:p w14:paraId="3D13E7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 xml:space="preserve">6、教师端屏幕广播时采用终端本地网络，无需占用云桌面网络带宽，云桌面断开连接时，不影响屏幕广播的正常使用； </w:t>
            </w:r>
          </w:p>
          <w:p w14:paraId="155EEA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 xml:space="preserve">7、收发作业时，由教师端的云桌面和学生端的云桌面直接传输，无需占用本地网络资源； </w:t>
            </w:r>
          </w:p>
          <w:p w14:paraId="3B704D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8、支持即时通讯功能，包括文字或图片通讯等，支持举手功能，学生端点击“举手”，教师端显示明显标识并文字提示；</w:t>
            </w:r>
          </w:p>
          <w:p w14:paraId="266202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*9、学生端与教师端为同一安装应用程序，兼容云桌面单一镜像管理，多个教室更新时，更新单一镜像模板即可完成所有云桌面更新，无需管理员手动调整或设置，提供软件功能截图证明；</w:t>
            </w:r>
          </w:p>
          <w:p w14:paraId="5990F1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10、教师机可以监视单一、部分、全体学生机的屏幕；</w:t>
            </w:r>
          </w:p>
          <w:p w14:paraId="1E808B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*11、支持学生签到功能，保留学生的签到信息，实现一键导出，提供软件功能截图证明；</w:t>
            </w:r>
          </w:p>
          <w:p w14:paraId="0F36A8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12、支持上网控制，设定学生访问网站的黑名单或白名单，对学生可以访问的Internet站点进行管理；</w:t>
            </w:r>
          </w:p>
          <w:p w14:paraId="5E505A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 xml:space="preserve">13、可以对终端设备进行远程开机、关机、重启等操作，终端包括但不限于X86和ARM终端； </w:t>
            </w:r>
          </w:p>
          <w:p w14:paraId="141BBD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 xml:space="preserve">14、支持电教服务分布式部署，及减少服务器压力同时满足多班级同时并发访问需要； </w:t>
            </w:r>
          </w:p>
          <w:p w14:paraId="064F8B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15、采用集中式授权管理，通过一个U-key设备对多个教室的电子教学软件进行授权，简化运维；</w:t>
            </w:r>
          </w:p>
        </w:tc>
      </w:tr>
      <w:tr w14:paraId="2369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37E43DBF">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9</w:t>
            </w:r>
          </w:p>
        </w:tc>
        <w:tc>
          <w:tcPr>
            <w:tcW w:w="1229" w:type="dxa"/>
            <w:tcBorders>
              <w:tl2br w:val="nil"/>
              <w:tr2bl w:val="nil"/>
            </w:tcBorders>
            <w:vAlign w:val="center"/>
          </w:tcPr>
          <w:p w14:paraId="625BDA0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48口汇聚交换机</w:t>
            </w:r>
          </w:p>
        </w:tc>
        <w:tc>
          <w:tcPr>
            <w:tcW w:w="455" w:type="dxa"/>
            <w:tcBorders>
              <w:tl2br w:val="nil"/>
              <w:tr2bl w:val="nil"/>
            </w:tcBorders>
            <w:vAlign w:val="center"/>
          </w:tcPr>
          <w:p w14:paraId="5CD96D6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台</w:t>
            </w:r>
          </w:p>
        </w:tc>
        <w:tc>
          <w:tcPr>
            <w:tcW w:w="654" w:type="dxa"/>
            <w:tcBorders>
              <w:tl2br w:val="nil"/>
              <w:tr2bl w:val="nil"/>
            </w:tcBorders>
            <w:vAlign w:val="center"/>
          </w:tcPr>
          <w:p w14:paraId="459A0F18">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w:t>
            </w:r>
          </w:p>
        </w:tc>
        <w:tc>
          <w:tcPr>
            <w:tcW w:w="7571" w:type="dxa"/>
            <w:tcBorders>
              <w:tl2br w:val="nil"/>
              <w:tr2bl w:val="nil"/>
            </w:tcBorders>
            <w:vAlign w:val="center"/>
          </w:tcPr>
          <w:p w14:paraId="26674B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 48 个 10/100/1000BASE-T 以太网端口，4 个万兆光口，交流供电；</w:t>
            </w:r>
          </w:p>
          <w:p w14:paraId="524AE6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2、包转发率：144/166Mpps；</w:t>
            </w:r>
          </w:p>
          <w:p w14:paraId="2B8F7D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3、交换容量：432Gbps/4.32Tbps；</w:t>
            </w:r>
          </w:p>
        </w:tc>
      </w:tr>
      <w:tr w14:paraId="002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4CB465D7">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10</w:t>
            </w:r>
          </w:p>
        </w:tc>
        <w:tc>
          <w:tcPr>
            <w:tcW w:w="1229" w:type="dxa"/>
            <w:tcBorders>
              <w:tl2br w:val="nil"/>
              <w:tr2bl w:val="nil"/>
            </w:tcBorders>
            <w:vAlign w:val="center"/>
          </w:tcPr>
          <w:p w14:paraId="7B6BB84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48口接入交换机</w:t>
            </w:r>
          </w:p>
        </w:tc>
        <w:tc>
          <w:tcPr>
            <w:tcW w:w="455" w:type="dxa"/>
            <w:tcBorders>
              <w:tl2br w:val="nil"/>
              <w:tr2bl w:val="nil"/>
            </w:tcBorders>
            <w:vAlign w:val="center"/>
          </w:tcPr>
          <w:p w14:paraId="267AF5B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台</w:t>
            </w:r>
          </w:p>
        </w:tc>
        <w:tc>
          <w:tcPr>
            <w:tcW w:w="654" w:type="dxa"/>
            <w:tcBorders>
              <w:tl2br w:val="nil"/>
              <w:tr2bl w:val="nil"/>
            </w:tcBorders>
            <w:vAlign w:val="center"/>
          </w:tcPr>
          <w:p w14:paraId="2B5B2B1E">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w:t>
            </w:r>
          </w:p>
        </w:tc>
        <w:tc>
          <w:tcPr>
            <w:tcW w:w="7571" w:type="dxa"/>
            <w:tcBorders>
              <w:tl2br w:val="nil"/>
              <w:tr2bl w:val="nil"/>
            </w:tcBorders>
            <w:vAlign w:val="center"/>
          </w:tcPr>
          <w:p w14:paraId="06D5AB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 48 个 10/100/1000BASE-T 以太网端口，4个千兆SFP，交流供电；</w:t>
            </w:r>
          </w:p>
          <w:p w14:paraId="76F1B0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2、包转发率：132/166 Mpps；</w:t>
            </w:r>
          </w:p>
          <w:p w14:paraId="4454BA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3、交换容量：432Gbps/4.32Tbps；</w:t>
            </w:r>
          </w:p>
        </w:tc>
      </w:tr>
      <w:tr w14:paraId="0F07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11B0511A">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11</w:t>
            </w:r>
          </w:p>
        </w:tc>
        <w:tc>
          <w:tcPr>
            <w:tcW w:w="1229" w:type="dxa"/>
            <w:tcBorders>
              <w:tl2br w:val="nil"/>
              <w:tr2bl w:val="nil"/>
            </w:tcBorders>
            <w:vAlign w:val="center"/>
          </w:tcPr>
          <w:p w14:paraId="47FC514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网络机柜</w:t>
            </w:r>
          </w:p>
        </w:tc>
        <w:tc>
          <w:tcPr>
            <w:tcW w:w="455" w:type="dxa"/>
            <w:tcBorders>
              <w:tl2br w:val="nil"/>
              <w:tr2bl w:val="nil"/>
            </w:tcBorders>
            <w:vAlign w:val="center"/>
          </w:tcPr>
          <w:p w14:paraId="3188E91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台</w:t>
            </w:r>
          </w:p>
        </w:tc>
        <w:tc>
          <w:tcPr>
            <w:tcW w:w="654" w:type="dxa"/>
            <w:tcBorders>
              <w:tl2br w:val="nil"/>
              <w:tr2bl w:val="nil"/>
            </w:tcBorders>
            <w:vAlign w:val="center"/>
          </w:tcPr>
          <w:p w14:paraId="33E6F08F">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w:t>
            </w:r>
          </w:p>
        </w:tc>
        <w:tc>
          <w:tcPr>
            <w:tcW w:w="7571" w:type="dxa"/>
            <w:tcBorders>
              <w:tl2br w:val="nil"/>
              <w:tr2bl w:val="nil"/>
            </w:tcBorders>
            <w:vAlign w:val="center"/>
          </w:tcPr>
          <w:p w14:paraId="3B6671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22U标准网络机柜</w:t>
            </w:r>
          </w:p>
        </w:tc>
      </w:tr>
      <w:tr w14:paraId="03D9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626711AF">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12</w:t>
            </w:r>
          </w:p>
        </w:tc>
        <w:tc>
          <w:tcPr>
            <w:tcW w:w="1229" w:type="dxa"/>
            <w:tcBorders>
              <w:tl2br w:val="nil"/>
              <w:tr2bl w:val="nil"/>
            </w:tcBorders>
            <w:vAlign w:val="center"/>
          </w:tcPr>
          <w:p w14:paraId="6634353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一体化均衡声场扩声系统</w:t>
            </w:r>
          </w:p>
        </w:tc>
        <w:tc>
          <w:tcPr>
            <w:tcW w:w="455" w:type="dxa"/>
            <w:tcBorders>
              <w:tl2br w:val="nil"/>
              <w:tr2bl w:val="nil"/>
            </w:tcBorders>
            <w:vAlign w:val="center"/>
          </w:tcPr>
          <w:p w14:paraId="4A67965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套</w:t>
            </w:r>
          </w:p>
        </w:tc>
        <w:tc>
          <w:tcPr>
            <w:tcW w:w="654" w:type="dxa"/>
            <w:tcBorders>
              <w:tl2br w:val="nil"/>
              <w:tr2bl w:val="nil"/>
            </w:tcBorders>
            <w:vAlign w:val="center"/>
          </w:tcPr>
          <w:p w14:paraId="48762826">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w:t>
            </w:r>
          </w:p>
        </w:tc>
        <w:tc>
          <w:tcPr>
            <w:tcW w:w="7571" w:type="dxa"/>
            <w:tcBorders>
              <w:tl2br w:val="nil"/>
              <w:tr2bl w:val="nil"/>
            </w:tcBorders>
            <w:vAlign w:val="center"/>
          </w:tcPr>
          <w:p w14:paraId="4C8496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1、每套一体化均衡声场扩声系统需包含1个教学级专业扩声音箱和1个无线手持麦克风。</w:t>
            </w:r>
          </w:p>
          <w:p w14:paraId="180611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2、采用低压恒流驱动，安全可靠，耗电少，寿命长，支持通过输入接口连接多种外部音源。</w:t>
            </w:r>
          </w:p>
          <w:p w14:paraId="0678F6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*3、支持模拟音频输入、蓝牙音频输入、无线麦克风音频输入；（提供第三方检测机构出具的产品合格检测报告复印件并加盖厂家公章）</w:t>
            </w:r>
          </w:p>
          <w:p w14:paraId="3EBA1A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*4、整机最大功率不大于60W，扬声器数量不少于6个，1m处最大声压级不低于98dB@1KHz&amp;1m，有效频率范围115Hz-20KHz；（提供第三方检测机构出具的产品合格检测报告复印件并加盖厂家公章）</w:t>
            </w:r>
          </w:p>
          <w:p w14:paraId="58FE26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*5、教室使用场所内各学生座位测量点的稳态声压级最大值与最小值差值范围为±2dB；（提供第三方检测机构出具的产品合格检测报告复印件并加盖厂家公章）</w:t>
            </w:r>
          </w:p>
          <w:p w14:paraId="58B55F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6、整机重量不大于5Kg，电源电压：AC220V；</w:t>
            </w:r>
          </w:p>
          <w:p w14:paraId="0B8C39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7、产品腔体为木质结构，保障高品质音效；</w:t>
            </w:r>
          </w:p>
          <w:p w14:paraId="0AEAD2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*8、配套APP技术参数：（提供第三方检测机构出具的产品合格检测报告复印件并加盖厂家公章）</w:t>
            </w:r>
          </w:p>
          <w:p w14:paraId="68A4E8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（1）支持角度设置，上下角度-30°至30°可调；通过调节发声角度适用于不同环境的声场均衡；</w:t>
            </w:r>
          </w:p>
          <w:p w14:paraId="0685B4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（2）支持清晰度设置，支持语音正常、清晰、超清晰调节；</w:t>
            </w:r>
          </w:p>
          <w:p w14:paraId="4FF6ED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（3）支持啸叫抑制设置，可对啸叫进行高、中、低三档抑制调节；</w:t>
            </w:r>
          </w:p>
          <w:p w14:paraId="3998FA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（4）支持设备固件升级，通过APP可一键升级固件；</w:t>
            </w:r>
          </w:p>
          <w:p w14:paraId="6A0BA1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（5）支持音效算法升级，可在线一键升级音效算法版本；</w:t>
            </w:r>
          </w:p>
          <w:p w14:paraId="66C656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（6）支持在线修改名称、扬声器检测，可单独检测每个扬声器声音是否正常；</w:t>
            </w:r>
          </w:p>
          <w:p w14:paraId="21C1A0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9、无线麦克风对频距离低于2m可自动与音箱对频；</w:t>
            </w:r>
          </w:p>
          <w:p w14:paraId="4695E5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10、能手动调节无线麦克风音量，从而控制音箱音量；</w:t>
            </w:r>
          </w:p>
          <w:p w14:paraId="76430F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11、无线麦克风充满电后，连续工作时间不小于6H；</w:t>
            </w:r>
          </w:p>
          <w:p w14:paraId="19FEC5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*12、无线最大传输距离不低于10m；（提供第三方检测机构出具的产品合格检测报告复印件并加盖厂家公章）</w:t>
            </w:r>
          </w:p>
          <w:p w14:paraId="7ACCE6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13、无线麦克风支持一键静音功能；</w:t>
            </w:r>
          </w:p>
          <w:p w14:paraId="029294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14、带有屏幕可显示无线麦克风调节音量；</w:t>
            </w:r>
          </w:p>
          <w:p w14:paraId="126334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*15、为方便售后服务，需提供制造商厂商针对本项目三年免费售后服务承诺函并加盖厂商公章；</w:t>
            </w:r>
          </w:p>
        </w:tc>
      </w:tr>
      <w:tr w14:paraId="47F5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7698A9E2">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13</w:t>
            </w:r>
          </w:p>
        </w:tc>
        <w:tc>
          <w:tcPr>
            <w:tcW w:w="1229" w:type="dxa"/>
            <w:tcBorders>
              <w:tl2br w:val="nil"/>
              <w:tr2bl w:val="nil"/>
            </w:tcBorders>
            <w:vAlign w:val="center"/>
          </w:tcPr>
          <w:p w14:paraId="0739359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电视机</w:t>
            </w:r>
          </w:p>
        </w:tc>
        <w:tc>
          <w:tcPr>
            <w:tcW w:w="455" w:type="dxa"/>
            <w:tcBorders>
              <w:tl2br w:val="nil"/>
              <w:tr2bl w:val="nil"/>
            </w:tcBorders>
            <w:vAlign w:val="center"/>
          </w:tcPr>
          <w:p w14:paraId="405260A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个</w:t>
            </w:r>
          </w:p>
        </w:tc>
        <w:tc>
          <w:tcPr>
            <w:tcW w:w="654" w:type="dxa"/>
            <w:tcBorders>
              <w:tl2br w:val="nil"/>
              <w:tr2bl w:val="nil"/>
            </w:tcBorders>
            <w:vAlign w:val="center"/>
          </w:tcPr>
          <w:p w14:paraId="76CBC56B">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2</w:t>
            </w:r>
          </w:p>
        </w:tc>
        <w:tc>
          <w:tcPr>
            <w:tcW w:w="7571" w:type="dxa"/>
            <w:tcBorders>
              <w:tl2br w:val="nil"/>
              <w:tr2bl w:val="nil"/>
            </w:tcBorders>
            <w:vAlign w:val="center"/>
          </w:tcPr>
          <w:p w14:paraId="41A905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1、尺寸：高清4K 65英寸LED；</w:t>
            </w:r>
          </w:p>
          <w:p w14:paraId="4B09B2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2、运行内存：≥2G；存储≥32G；</w:t>
            </w:r>
          </w:p>
          <w:p w14:paraId="56C80E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3、屏幕比例：16:9；</w:t>
            </w:r>
          </w:p>
          <w:p w14:paraId="3F74E5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4、含</w:t>
            </w:r>
            <w:r>
              <w:rPr>
                <w:rFonts w:hint="eastAsia" w:ascii="宋体" w:hAnsi="宋体" w:cs="Times New Roman"/>
                <w:sz w:val="21"/>
                <w:szCs w:val="21"/>
                <w:lang w:val="en-US" w:eastAsia="zh-CN"/>
              </w:rPr>
              <w:t>吊装</w:t>
            </w:r>
            <w:r>
              <w:rPr>
                <w:rFonts w:hint="eastAsia" w:ascii="宋体" w:hAnsi="宋体" w:cs="Times New Roman"/>
                <w:sz w:val="21"/>
                <w:szCs w:val="21"/>
              </w:rPr>
              <w:t>支架，包安装；</w:t>
            </w:r>
          </w:p>
        </w:tc>
      </w:tr>
      <w:tr w14:paraId="7742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2FEF551">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14</w:t>
            </w:r>
          </w:p>
        </w:tc>
        <w:tc>
          <w:tcPr>
            <w:tcW w:w="1229" w:type="dxa"/>
            <w:tcBorders>
              <w:tl2br w:val="nil"/>
              <w:tr2bl w:val="nil"/>
            </w:tcBorders>
            <w:vAlign w:val="center"/>
          </w:tcPr>
          <w:p w14:paraId="7320D20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rPr>
            </w:pPr>
            <w:r>
              <w:rPr>
                <w:rFonts w:hint="eastAsia" w:ascii="宋体" w:hAnsi="宋体" w:cs="Times New Roman"/>
                <w:sz w:val="21"/>
                <w:szCs w:val="21"/>
                <w:lang w:val="en-US" w:eastAsia="zh-CN"/>
              </w:rPr>
              <w:t>综合布线</w:t>
            </w:r>
          </w:p>
        </w:tc>
        <w:tc>
          <w:tcPr>
            <w:tcW w:w="455" w:type="dxa"/>
            <w:tcBorders>
              <w:tl2br w:val="nil"/>
              <w:tr2bl w:val="nil"/>
            </w:tcBorders>
            <w:vAlign w:val="center"/>
          </w:tcPr>
          <w:p w14:paraId="7D92B55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Times New Roman"/>
                <w:sz w:val="21"/>
                <w:szCs w:val="21"/>
                <w:lang w:val="en-US" w:eastAsia="zh-CN"/>
              </w:rPr>
            </w:pPr>
            <w:r>
              <w:rPr>
                <w:rFonts w:hint="eastAsia" w:ascii="宋体" w:hAnsi="宋体" w:cs="Times New Roman"/>
                <w:sz w:val="21"/>
                <w:szCs w:val="21"/>
                <w:lang w:val="en-US" w:eastAsia="zh-CN"/>
              </w:rPr>
              <w:t>项</w:t>
            </w:r>
          </w:p>
        </w:tc>
        <w:tc>
          <w:tcPr>
            <w:tcW w:w="654" w:type="dxa"/>
            <w:tcBorders>
              <w:tl2br w:val="nil"/>
              <w:tr2bl w:val="nil"/>
            </w:tcBorders>
            <w:vAlign w:val="center"/>
          </w:tcPr>
          <w:p w14:paraId="392EFF47">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Times New Roman"/>
                <w:sz w:val="21"/>
                <w:szCs w:val="21"/>
                <w:lang w:val="en-US" w:eastAsia="zh-CN"/>
              </w:rPr>
            </w:pPr>
            <w:r>
              <w:rPr>
                <w:rFonts w:hint="eastAsia" w:ascii="宋体" w:hAnsi="宋体" w:cs="Times New Roman"/>
                <w:sz w:val="21"/>
                <w:szCs w:val="21"/>
                <w:lang w:val="en-US" w:eastAsia="zh-CN"/>
              </w:rPr>
              <w:t>1</w:t>
            </w:r>
          </w:p>
        </w:tc>
        <w:tc>
          <w:tcPr>
            <w:tcW w:w="7571" w:type="dxa"/>
            <w:tcBorders>
              <w:tl2br w:val="nil"/>
              <w:tr2bl w:val="nil"/>
            </w:tcBorders>
            <w:vAlign w:val="center"/>
          </w:tcPr>
          <w:p w14:paraId="5C0433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1、包含机房内所有设备的强弱电布线及安装调试；</w:t>
            </w:r>
          </w:p>
          <w:p w14:paraId="4D3599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2、网线需采用六类网线，综合布线含网线、电线、光纤跳线等主材，含线管、线槽等辅材；</w:t>
            </w:r>
          </w:p>
          <w:p w14:paraId="6218A8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3、各种管材的规格、型号应符合国家规范要求；</w:t>
            </w:r>
          </w:p>
          <w:p w14:paraId="303275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4、预埋金属线槽，线槽的布局应横平竖直，避免斜线，便于维护；</w:t>
            </w:r>
          </w:p>
          <w:p w14:paraId="35CFB8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s="Times New Roman"/>
                <w:sz w:val="21"/>
                <w:szCs w:val="21"/>
              </w:rPr>
            </w:pPr>
            <w:r>
              <w:rPr>
                <w:rFonts w:hint="eastAsia" w:ascii="宋体" w:hAnsi="宋体" w:cs="Times New Roman"/>
                <w:sz w:val="21"/>
                <w:szCs w:val="21"/>
              </w:rPr>
              <w:t>5、布线要整洁、规范，并做好两端标志；</w:t>
            </w:r>
          </w:p>
          <w:p w14:paraId="6AE535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1"/>
                <w:szCs w:val="21"/>
              </w:rPr>
            </w:pPr>
            <w:r>
              <w:rPr>
                <w:rFonts w:hint="eastAsia" w:ascii="宋体" w:hAnsi="宋体" w:cs="Times New Roman"/>
                <w:sz w:val="21"/>
                <w:szCs w:val="21"/>
              </w:rPr>
              <w:t>6、教师工位布两个信息点，每个学生工位布一个信息点,共计122点位；</w:t>
            </w:r>
          </w:p>
        </w:tc>
      </w:tr>
    </w:tbl>
    <w:p w14:paraId="676D56D9">
      <w:pPr>
        <w:widowControl/>
        <w:shd w:val="clear" w:color="auto" w:fill="FFFFFF"/>
        <w:spacing w:line="360" w:lineRule="auto"/>
        <w:jc w:val="left"/>
        <w:rPr>
          <w:rFonts w:hint="eastAsia" w:ascii="宋体" w:hAnsi="宋体" w:cs="Arial"/>
          <w:b/>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57C643-D633-452C-AE86-D0AE221956A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ZWU5ZDY4NWE0NzVkODJmMTE0MjUyOWYzYzIzMzcifQ=="/>
  </w:docVars>
  <w:rsids>
    <w:rsidRoot w:val="79E60680"/>
    <w:rsid w:val="00004CFF"/>
    <w:rsid w:val="00020F3A"/>
    <w:rsid w:val="00072511"/>
    <w:rsid w:val="000B2A78"/>
    <w:rsid w:val="000F5E8B"/>
    <w:rsid w:val="00106776"/>
    <w:rsid w:val="0015791C"/>
    <w:rsid w:val="00163AC5"/>
    <w:rsid w:val="00183E4D"/>
    <w:rsid w:val="001D4F27"/>
    <w:rsid w:val="00240F07"/>
    <w:rsid w:val="00283FE9"/>
    <w:rsid w:val="002866A3"/>
    <w:rsid w:val="002968FB"/>
    <w:rsid w:val="002A62C9"/>
    <w:rsid w:val="002B1AFC"/>
    <w:rsid w:val="00325C92"/>
    <w:rsid w:val="0033001B"/>
    <w:rsid w:val="003566AF"/>
    <w:rsid w:val="003808EA"/>
    <w:rsid w:val="003C344A"/>
    <w:rsid w:val="003F29D7"/>
    <w:rsid w:val="00425A1E"/>
    <w:rsid w:val="00430634"/>
    <w:rsid w:val="004611E7"/>
    <w:rsid w:val="00472E6F"/>
    <w:rsid w:val="004B72FC"/>
    <w:rsid w:val="004F3B57"/>
    <w:rsid w:val="00557A95"/>
    <w:rsid w:val="00564925"/>
    <w:rsid w:val="005E045C"/>
    <w:rsid w:val="00602DCB"/>
    <w:rsid w:val="006228BB"/>
    <w:rsid w:val="0066618B"/>
    <w:rsid w:val="006B2A08"/>
    <w:rsid w:val="006F3EDF"/>
    <w:rsid w:val="007222D3"/>
    <w:rsid w:val="00800C8E"/>
    <w:rsid w:val="00810583"/>
    <w:rsid w:val="00815EEB"/>
    <w:rsid w:val="00856868"/>
    <w:rsid w:val="00982982"/>
    <w:rsid w:val="009D25D1"/>
    <w:rsid w:val="00A374EE"/>
    <w:rsid w:val="00A824C1"/>
    <w:rsid w:val="00AC7F08"/>
    <w:rsid w:val="00B023AD"/>
    <w:rsid w:val="00BA3E98"/>
    <w:rsid w:val="00BF6037"/>
    <w:rsid w:val="00C303F2"/>
    <w:rsid w:val="00C634A6"/>
    <w:rsid w:val="00CA311D"/>
    <w:rsid w:val="00CB5FF2"/>
    <w:rsid w:val="00CD3C6C"/>
    <w:rsid w:val="00D24083"/>
    <w:rsid w:val="00D72D0A"/>
    <w:rsid w:val="00D8639B"/>
    <w:rsid w:val="00DC0C91"/>
    <w:rsid w:val="00E43D12"/>
    <w:rsid w:val="00E74EAE"/>
    <w:rsid w:val="00EA34A7"/>
    <w:rsid w:val="00EB1027"/>
    <w:rsid w:val="00EC40BE"/>
    <w:rsid w:val="00EF4957"/>
    <w:rsid w:val="00F01B79"/>
    <w:rsid w:val="00F20F79"/>
    <w:rsid w:val="00F218CD"/>
    <w:rsid w:val="00F24D10"/>
    <w:rsid w:val="00F266A2"/>
    <w:rsid w:val="00F46177"/>
    <w:rsid w:val="00F468D8"/>
    <w:rsid w:val="00F60EE5"/>
    <w:rsid w:val="00F7198A"/>
    <w:rsid w:val="00F72593"/>
    <w:rsid w:val="00FD1395"/>
    <w:rsid w:val="00FF1765"/>
    <w:rsid w:val="0201499D"/>
    <w:rsid w:val="0F1D38DB"/>
    <w:rsid w:val="10DB11B5"/>
    <w:rsid w:val="125475D4"/>
    <w:rsid w:val="17D10D76"/>
    <w:rsid w:val="1BDB2B53"/>
    <w:rsid w:val="240A633C"/>
    <w:rsid w:val="2B101E2C"/>
    <w:rsid w:val="2F7B4CBE"/>
    <w:rsid w:val="3C414910"/>
    <w:rsid w:val="69750903"/>
    <w:rsid w:val="6E2B2924"/>
    <w:rsid w:val="7695067C"/>
    <w:rsid w:val="79E60680"/>
    <w:rsid w:val="7F06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autoRedefine/>
    <w:unhideWhenUsed/>
    <w:qFormat/>
    <w:uiPriority w:val="9"/>
    <w:pPr>
      <w:keepNext/>
      <w:keepLines/>
      <w:spacing w:before="260" w:after="260" w:line="416" w:lineRule="auto"/>
      <w:outlineLvl w:val="2"/>
    </w:pPr>
    <w:rPr>
      <w:rFonts w:eastAsia="宋体"/>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Indent"/>
    <w:basedOn w:val="1"/>
    <w:qFormat/>
    <w:uiPriority w:val="0"/>
    <w:pPr>
      <w:spacing w:after="120"/>
      <w:ind w:left="420" w:leftChars="200"/>
    </w:pPr>
  </w:style>
  <w:style w:type="paragraph" w:styleId="6">
    <w:name w:val="Balloon Text"/>
    <w:basedOn w:val="1"/>
    <w:link w:val="19"/>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paragraph" w:styleId="10">
    <w:name w:val="Body Text First Indent 2"/>
    <w:basedOn w:val="5"/>
    <w:unhideWhenUsed/>
    <w:qFormat/>
    <w:uiPriority w:val="99"/>
    <w:pPr>
      <w:ind w:firstLine="420" w:firstLineChars="200"/>
    </w:pPr>
  </w:style>
  <w:style w:type="character" w:styleId="13">
    <w:name w:val="annotation reference"/>
    <w:basedOn w:val="12"/>
    <w:qFormat/>
    <w:uiPriority w:val="0"/>
    <w:rPr>
      <w:sz w:val="21"/>
      <w:szCs w:val="21"/>
    </w:rPr>
  </w:style>
  <w:style w:type="paragraph" w:customStyle="1" w:styleId="14">
    <w:name w:val="样式1"/>
    <w:basedOn w:val="1"/>
    <w:qFormat/>
    <w:uiPriority w:val="0"/>
    <w:pPr>
      <w:ind w:firstLine="883" w:firstLineChars="200"/>
    </w:pPr>
    <w:rPr>
      <w:rFonts w:ascii="Calibri" w:hAnsi="Calibri" w:eastAsia="宋体" w:cs="Times New Roman"/>
      <w:sz w:val="30"/>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character" w:customStyle="1" w:styleId="17">
    <w:name w:val="批注文字 字符"/>
    <w:basedOn w:val="12"/>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批注框文本 字符"/>
    <w:basedOn w:val="12"/>
    <w:link w:val="6"/>
    <w:qFormat/>
    <w:uiPriority w:val="0"/>
    <w:rPr>
      <w:kern w:val="2"/>
      <w:sz w:val="18"/>
      <w:szCs w:val="18"/>
    </w:rPr>
  </w:style>
  <w:style w:type="paragraph" w:styleId="20">
    <w:name w:val="List Paragraph"/>
    <w:basedOn w:val="1"/>
    <w:unhideWhenUsed/>
    <w:qFormat/>
    <w:uiPriority w:val="99"/>
    <w:pPr>
      <w:ind w:firstLine="420" w:firstLineChars="200"/>
    </w:pPr>
  </w:style>
  <w:style w:type="character" w:customStyle="1" w:styleId="21">
    <w:name w:val="标题 2 字符"/>
    <w:basedOn w:val="12"/>
    <w:link w:val="2"/>
    <w:qFormat/>
    <w:uiPriority w:val="0"/>
    <w:rPr>
      <w:rFonts w:ascii="Arial" w:hAnsi="Arial" w:eastAsia="黑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6451-E7DF-4171-AEE2-B6B1CB8C58A7}">
  <ds:schemaRefs/>
</ds:datastoreItem>
</file>

<file path=docProps/app.xml><?xml version="1.0" encoding="utf-8"?>
<Properties xmlns="http://schemas.openxmlformats.org/officeDocument/2006/extended-properties" xmlns:vt="http://schemas.openxmlformats.org/officeDocument/2006/docPropsVTypes">
  <Template>Normal</Template>
  <Company>Win10_64</Company>
  <Pages>5</Pages>
  <Words>1830</Words>
  <Characters>2108</Characters>
  <Lines>21</Lines>
  <Paragraphs>5</Paragraphs>
  <TotalTime>0</TotalTime>
  <ScaleCrop>false</ScaleCrop>
  <LinksUpToDate>false</LinksUpToDate>
  <CharactersWithSpaces>2114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2023-12-28T03:28:00Z</dcterms:created>
  <dc:creator>裘伟</dc:creator>
  <cp:lastModifiedBy>刘瑞洁</cp:lastModifiedBy>
  <cp:lastPrinted>2026-06-16T01:33:58Z</cp:lastPrinted>
  <dcterms:modified xsi:type="dcterms:W3CDTF">2026-06-16T01:34:06Z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BDBDD9A755E44F8E976DB75CD6BF7E97_11</vt:lpwstr>
  </property>
  <property fmtid="{D5CDD505-2E9C-101B-9397-08002B2CF9AE}" pid="4" name="KSOTemplateDocerSaveRecord">
    <vt:lpwstr>eyJoZGlkIjoiZWQ0ZTNlNTQ5MGY3NGI0ZjBkMmY1Mzk2MDg5MTIyMjgiLCJ1c2VySWQiOiIxMDMyNTc2NjA4In0=</vt:lpwstr>
  </property>
</Properties>
</file>