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B7A8">
      <w:pPr>
        <w:pStyle w:val="3"/>
        <w:spacing w:line="240" w:lineRule="auto"/>
        <w:ind w:firstLine="0" w:firstLineChars="0"/>
        <w:rPr>
          <w:rFonts w:hint="eastAsia"/>
          <w:color w:val="auto"/>
        </w:rPr>
      </w:pPr>
    </w:p>
    <w:p w14:paraId="48E24A4F">
      <w:pPr>
        <w:spacing w:line="240" w:lineRule="auto"/>
        <w:ind w:firstLine="0" w:firstLineChars="0"/>
        <w:jc w:val="center"/>
        <w:rPr>
          <w:rFonts w:hint="default" w:ascii="黑体" w:hAnsi="黑体" w:eastAsia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auto"/>
          <w:sz w:val="44"/>
          <w:szCs w:val="44"/>
          <w:lang w:eastAsia="zh-CN"/>
        </w:rPr>
        <w:t>安徽信息工程学院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宿舍</w:t>
      </w:r>
      <w:r>
        <w:rPr>
          <w:rFonts w:hint="eastAsia" w:ascii="黑体" w:hAnsi="黑体" w:eastAsia="黑体"/>
          <w:color w:val="auto"/>
          <w:sz w:val="44"/>
          <w:szCs w:val="44"/>
        </w:rPr>
        <w:t>网络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改造BOT</w:t>
      </w:r>
      <w:r>
        <w:rPr>
          <w:rFonts w:hint="eastAsia" w:ascii="黑体" w:hAnsi="黑体" w:eastAsia="黑体"/>
          <w:color w:val="auto"/>
          <w:sz w:val="44"/>
          <w:szCs w:val="44"/>
        </w:rPr>
        <w:t>项目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技术需求</w:t>
      </w:r>
    </w:p>
    <w:p w14:paraId="09BEC845">
      <w:pPr>
        <w:spacing w:before="156" w:beforeLines="50" w:line="240" w:lineRule="auto"/>
        <w:ind w:firstLine="0" w:firstLineChars="0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1建设内容</w:t>
      </w:r>
    </w:p>
    <w:p w14:paraId="161EF956">
      <w:pPr>
        <w:ind w:firstLine="480"/>
        <w:rPr>
          <w:rFonts w:hint="eastAsia" w:ascii="宋体" w:hAnsi="宋体" w:eastAsia="宋体" w:cs="宋体"/>
          <w:color w:val="auto"/>
          <w:kern w:val="0"/>
          <w:lang w:bidi="ar"/>
        </w:rPr>
      </w:pPr>
      <w:r>
        <w:rPr>
          <w:rFonts w:hint="eastAsia"/>
          <w:color w:val="auto"/>
        </w:rPr>
        <w:t>基于学校现状及发展，本次建设项目的</w:t>
      </w:r>
      <w:r>
        <w:rPr>
          <w:rFonts w:hint="eastAsia"/>
          <w:color w:val="auto"/>
          <w:lang w:eastAsia="zh-CN"/>
        </w:rPr>
        <w:t>安徽信息工程学院</w:t>
      </w:r>
      <w:r>
        <w:rPr>
          <w:rFonts w:hint="eastAsia"/>
          <w:color w:val="auto"/>
        </w:rPr>
        <w:t>校园网络核心区域及网络平台设备需满足未来运行，具体建设内容如下</w:t>
      </w:r>
      <w:r>
        <w:rPr>
          <w:rFonts w:hint="eastAsia" w:ascii="宋体" w:hAnsi="宋体" w:eastAsia="宋体" w:cs="宋体"/>
          <w:color w:val="auto"/>
          <w:kern w:val="0"/>
          <w:lang w:bidi="ar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702"/>
        <w:gridCol w:w="5892"/>
      </w:tblGrid>
      <w:tr w14:paraId="218C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top"/>
          </w:tcPr>
          <w:p w14:paraId="42FA60EF">
            <w:pPr>
              <w:spacing w:before="156" w:beforeLines="50" w:line="240" w:lineRule="auto"/>
              <w:ind w:firstLine="0" w:firstLineChars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02" w:type="dxa"/>
            <w:noWrap w:val="0"/>
            <w:vAlign w:val="top"/>
          </w:tcPr>
          <w:p w14:paraId="4128419E">
            <w:pPr>
              <w:spacing w:before="156" w:beforeLines="50" w:line="240" w:lineRule="auto"/>
              <w:ind w:firstLine="0" w:firstLineChars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分项名称</w:t>
            </w:r>
          </w:p>
        </w:tc>
        <w:tc>
          <w:tcPr>
            <w:tcW w:w="5892" w:type="dxa"/>
            <w:noWrap w:val="0"/>
            <w:vAlign w:val="top"/>
          </w:tcPr>
          <w:p w14:paraId="13C4E92F">
            <w:pPr>
              <w:spacing w:before="156" w:beforeLines="50" w:line="240" w:lineRule="auto"/>
              <w:ind w:firstLine="0" w:firstLineChars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主要建设内容</w:t>
            </w:r>
          </w:p>
        </w:tc>
      </w:tr>
      <w:tr w14:paraId="2E72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6955D979">
            <w:pPr>
              <w:pStyle w:val="9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02" w:type="dxa"/>
            <w:noWrap w:val="0"/>
            <w:vAlign w:val="center"/>
          </w:tcPr>
          <w:p w14:paraId="50173950">
            <w:pPr>
              <w:pStyle w:val="9"/>
              <w:jc w:val="center"/>
              <w:rPr>
                <w:color w:val="auto"/>
              </w:rPr>
            </w:pPr>
            <w:r>
              <w:rPr>
                <w:color w:val="auto"/>
              </w:rPr>
              <w:t>核心区域</w:t>
            </w:r>
          </w:p>
        </w:tc>
        <w:tc>
          <w:tcPr>
            <w:tcW w:w="5892" w:type="dxa"/>
            <w:noWrap w:val="0"/>
            <w:vAlign w:val="top"/>
          </w:tcPr>
          <w:p w14:paraId="2A153754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网络接入、调试</w:t>
            </w:r>
          </w:p>
        </w:tc>
      </w:tr>
      <w:tr w14:paraId="14A7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7FD53FE0">
            <w:pPr>
              <w:pStyle w:val="9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702" w:type="dxa"/>
            <w:noWrap w:val="0"/>
            <w:vAlign w:val="center"/>
          </w:tcPr>
          <w:p w14:paraId="06814F14">
            <w:pPr>
              <w:pStyle w:val="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老</w:t>
            </w:r>
            <w:r>
              <w:rPr>
                <w:color w:val="auto"/>
              </w:rPr>
              <w:t>宿舍</w:t>
            </w:r>
          </w:p>
        </w:tc>
        <w:tc>
          <w:tcPr>
            <w:tcW w:w="5892" w:type="dxa"/>
            <w:noWrap w:val="0"/>
            <w:vAlign w:val="top"/>
          </w:tcPr>
          <w:p w14:paraId="57CC06F8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10栋老学生宿舍楼改造（综合布线及设备安装调试）</w:t>
            </w:r>
            <w:r>
              <w:rPr>
                <w:color w:val="auto"/>
              </w:rPr>
              <w:t>；</w:t>
            </w:r>
          </w:p>
          <w:p w14:paraId="0CCDA686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1栋老教师宿舍楼改造（综合布线及设备安装调试）</w:t>
            </w:r>
            <w:r>
              <w:rPr>
                <w:color w:val="auto"/>
              </w:rPr>
              <w:t>。</w:t>
            </w:r>
          </w:p>
        </w:tc>
      </w:tr>
      <w:tr w14:paraId="5148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776A3267">
            <w:pPr>
              <w:pStyle w:val="9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702" w:type="dxa"/>
            <w:noWrap w:val="0"/>
            <w:vAlign w:val="center"/>
          </w:tcPr>
          <w:p w14:paraId="06E854FE">
            <w:pPr>
              <w:pStyle w:val="9"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新建宿舍</w:t>
            </w:r>
          </w:p>
        </w:tc>
        <w:tc>
          <w:tcPr>
            <w:tcW w:w="5892" w:type="dxa"/>
            <w:noWrap w:val="0"/>
            <w:vAlign w:val="top"/>
          </w:tcPr>
          <w:p w14:paraId="4ADCEC7F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1栋新学生宿舍楼新建（综合布线及设备安装调试）</w:t>
            </w:r>
            <w:r>
              <w:rPr>
                <w:color w:val="auto"/>
              </w:rPr>
              <w:t>；</w:t>
            </w:r>
          </w:p>
          <w:p w14:paraId="57297336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/>
                <w:bCs w:val="0"/>
                <w:color w:val="auto"/>
                <w:szCs w:val="28"/>
              </w:rPr>
            </w:pPr>
            <w:r>
              <w:rPr>
                <w:rFonts w:hint="eastAsia"/>
                <w:color w:val="auto"/>
                <w:lang w:val="en-US" w:eastAsia="zh-CN"/>
              </w:rPr>
              <w:t>1栋新教师宿舍楼新建（综合布线及设备安装调试）</w:t>
            </w:r>
            <w:r>
              <w:rPr>
                <w:color w:val="auto"/>
              </w:rPr>
              <w:t>。</w:t>
            </w:r>
          </w:p>
        </w:tc>
      </w:tr>
      <w:tr w14:paraId="2E86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76EF8E2E">
            <w:pPr>
              <w:pStyle w:val="9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702" w:type="dxa"/>
            <w:noWrap w:val="0"/>
            <w:vAlign w:val="center"/>
          </w:tcPr>
          <w:p w14:paraId="51B033F4">
            <w:pPr>
              <w:pStyle w:val="9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运营运维一体化平台建设</w:t>
            </w:r>
          </w:p>
        </w:tc>
        <w:tc>
          <w:tcPr>
            <w:tcW w:w="5892" w:type="dxa"/>
            <w:noWrap w:val="0"/>
            <w:vAlign w:val="top"/>
          </w:tcPr>
          <w:p w14:paraId="4E490288">
            <w:pPr>
              <w:pStyle w:val="9"/>
              <w:rPr>
                <w:bCs w:val="0"/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认证计费</w:t>
            </w:r>
            <w:r>
              <w:rPr>
                <w:rFonts w:hint="eastAsia"/>
                <w:color w:val="auto"/>
                <w:lang w:val="en-US" w:eastAsia="zh-CN"/>
              </w:rPr>
              <w:t>平台接入</w:t>
            </w:r>
            <w:r>
              <w:rPr>
                <w:color w:val="auto"/>
              </w:rPr>
              <w:t>、日志审计平台、运维服务平台、边缘缓存节点。</w:t>
            </w:r>
          </w:p>
        </w:tc>
      </w:tr>
    </w:tbl>
    <w:p w14:paraId="40925A9C">
      <w:pPr>
        <w:spacing w:before="156" w:beforeLines="50" w:line="240" w:lineRule="auto"/>
        <w:ind w:firstLine="0" w:firstLineChars="0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2产品技术指标与性能要求</w:t>
      </w:r>
    </w:p>
    <w:p w14:paraId="5F94F1C9">
      <w:pPr>
        <w:ind w:firstLine="482"/>
        <w:outlineLvl w:val="2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2.1</w:t>
      </w:r>
      <w:r>
        <w:rPr>
          <w:rFonts w:hint="eastAsia"/>
          <w:b/>
          <w:bCs/>
          <w:color w:val="auto"/>
        </w:rPr>
        <w:t>产品指标重要性表述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702"/>
        <w:gridCol w:w="5892"/>
      </w:tblGrid>
      <w:tr w14:paraId="0B73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top"/>
          </w:tcPr>
          <w:p w14:paraId="618F0045">
            <w:pPr>
              <w:spacing w:before="156" w:beforeLines="50" w:line="240" w:lineRule="auto"/>
              <w:ind w:firstLine="0" w:firstLineChars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02" w:type="dxa"/>
            <w:noWrap w:val="0"/>
            <w:vAlign w:val="top"/>
          </w:tcPr>
          <w:p w14:paraId="4348125A">
            <w:pPr>
              <w:spacing w:before="156" w:beforeLines="50" w:line="240" w:lineRule="auto"/>
              <w:ind w:firstLine="0" w:firstLineChars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标识符号</w:t>
            </w:r>
          </w:p>
        </w:tc>
        <w:tc>
          <w:tcPr>
            <w:tcW w:w="5892" w:type="dxa"/>
            <w:noWrap w:val="0"/>
            <w:vAlign w:val="top"/>
          </w:tcPr>
          <w:p w14:paraId="0917D055">
            <w:pPr>
              <w:spacing w:before="156" w:beforeLines="50" w:line="240" w:lineRule="auto"/>
              <w:ind w:firstLine="0" w:firstLineChars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符号说明</w:t>
            </w:r>
          </w:p>
        </w:tc>
      </w:tr>
      <w:tr w14:paraId="4DF2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6ADB982E">
            <w:pPr>
              <w:pStyle w:val="9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02" w:type="dxa"/>
            <w:noWrap w:val="0"/>
            <w:vAlign w:val="center"/>
          </w:tcPr>
          <w:p w14:paraId="783FF359">
            <w:pPr>
              <w:pStyle w:val="9"/>
              <w:jc w:val="center"/>
              <w:rPr>
                <w:color w:val="auto"/>
              </w:rPr>
            </w:pPr>
            <w:r>
              <w:rPr>
                <w:color w:val="auto"/>
              </w:rPr>
              <w:t>★</w:t>
            </w:r>
          </w:p>
        </w:tc>
        <w:tc>
          <w:tcPr>
            <w:tcW w:w="5892" w:type="dxa"/>
            <w:noWrap w:val="0"/>
            <w:vAlign w:val="top"/>
          </w:tcPr>
          <w:p w14:paraId="141BD97F">
            <w:pPr>
              <w:pStyle w:val="9"/>
              <w:rPr>
                <w:rFonts w:hint="default"/>
                <w:color w:val="auto"/>
              </w:rPr>
            </w:pPr>
            <w:r>
              <w:rPr>
                <w:color w:val="auto"/>
              </w:rPr>
              <w:t>评分项，详见评分细则</w:t>
            </w:r>
          </w:p>
        </w:tc>
      </w:tr>
      <w:tr w14:paraId="16D4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292E87DC">
            <w:pPr>
              <w:pStyle w:val="9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702" w:type="dxa"/>
            <w:noWrap w:val="0"/>
            <w:vAlign w:val="center"/>
          </w:tcPr>
          <w:p w14:paraId="4B9D3E81">
            <w:pPr>
              <w:pStyle w:val="9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无标识项</w:t>
            </w:r>
          </w:p>
        </w:tc>
        <w:tc>
          <w:tcPr>
            <w:tcW w:w="5892" w:type="dxa"/>
            <w:noWrap w:val="0"/>
            <w:vAlign w:val="top"/>
          </w:tcPr>
          <w:p w14:paraId="32564AD5">
            <w:pPr>
              <w:pStyle w:val="9"/>
              <w:rPr>
                <w:rFonts w:hint="default"/>
                <w:color w:val="auto"/>
              </w:rPr>
            </w:pPr>
            <w:r>
              <w:rPr>
                <w:color w:val="auto"/>
              </w:rPr>
              <w:t>符合性审查项，有3条及以上未响应或负偏离的，投标无效</w:t>
            </w:r>
          </w:p>
        </w:tc>
      </w:tr>
    </w:tbl>
    <w:p w14:paraId="58BFB664">
      <w:pPr>
        <w:ind w:firstLine="482"/>
        <w:outlineLvl w:val="2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2.2</w:t>
      </w:r>
      <w:r>
        <w:rPr>
          <w:rFonts w:hint="eastAsia"/>
          <w:b/>
          <w:bCs/>
          <w:color w:val="auto"/>
        </w:rPr>
        <w:t>产品技术参数及性能要求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44"/>
        <w:gridCol w:w="5325"/>
        <w:gridCol w:w="980"/>
      </w:tblGrid>
      <w:tr w14:paraId="6364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noWrap w:val="0"/>
            <w:vAlign w:val="top"/>
          </w:tcPr>
          <w:p w14:paraId="5BA1D372">
            <w:pPr>
              <w:spacing w:before="156" w:beforeLines="50" w:line="240" w:lineRule="auto"/>
              <w:ind w:firstLine="0" w:firstLineChars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906" w:type="pct"/>
            <w:noWrap w:val="0"/>
            <w:vAlign w:val="center"/>
          </w:tcPr>
          <w:p w14:paraId="080CD500">
            <w:pPr>
              <w:spacing w:before="156" w:beforeLines="50" w:line="240" w:lineRule="auto"/>
              <w:ind w:firstLine="0" w:firstLineChars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货物名称</w:t>
            </w:r>
          </w:p>
        </w:tc>
        <w:tc>
          <w:tcPr>
            <w:tcW w:w="3124" w:type="pct"/>
            <w:noWrap w:val="0"/>
            <w:vAlign w:val="center"/>
          </w:tcPr>
          <w:p w14:paraId="29685721">
            <w:pPr>
              <w:spacing w:before="156" w:beforeLines="50" w:line="240" w:lineRule="auto"/>
              <w:ind w:firstLine="0" w:firstLineChars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技术参数要求</w:t>
            </w:r>
          </w:p>
        </w:tc>
        <w:tc>
          <w:tcPr>
            <w:tcW w:w="575" w:type="pct"/>
            <w:noWrap w:val="0"/>
            <w:vAlign w:val="center"/>
          </w:tcPr>
          <w:p w14:paraId="1CF59135">
            <w:pPr>
              <w:spacing w:before="156" w:beforeLines="50" w:line="240" w:lineRule="auto"/>
              <w:ind w:firstLine="0" w:firstLineChars="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数量</w:t>
            </w:r>
          </w:p>
        </w:tc>
      </w:tr>
      <w:tr w14:paraId="7A32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noWrap w:val="0"/>
            <w:vAlign w:val="center"/>
          </w:tcPr>
          <w:p w14:paraId="3AB663DF">
            <w:pPr>
              <w:pStyle w:val="9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06" w:type="pct"/>
            <w:noWrap w:val="0"/>
            <w:vAlign w:val="center"/>
          </w:tcPr>
          <w:p w14:paraId="55EF21D7">
            <w:pPr>
              <w:pStyle w:val="9"/>
              <w:ind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上网</w:t>
            </w:r>
            <w:r>
              <w:rPr>
                <w:color w:val="auto"/>
              </w:rPr>
              <w:t>日志管理平台</w:t>
            </w:r>
          </w:p>
        </w:tc>
        <w:tc>
          <w:tcPr>
            <w:tcW w:w="3124" w:type="pct"/>
            <w:noWrap w:val="0"/>
            <w:vAlign w:val="center"/>
          </w:tcPr>
          <w:p w14:paraId="106867A6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1.标准2U设备，不少于2个千兆以太网口，核心数≥8核，内存≥32GB；硬盘空间不少于16TB；</w:t>
            </w:r>
          </w:p>
          <w:p w14:paraId="0F6F3CBE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2.日志源类型支持Syslog、视图、自定义file等；</w:t>
            </w:r>
          </w:p>
          <w:p w14:paraId="198E2F0E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3.支持第三方主流厂商设备，NAT设备、DNS、DHCP、防火墙、行为审计设备，以及Linux/Windows主机等日志采集分析；</w:t>
            </w:r>
          </w:p>
          <w:p w14:paraId="0DF36398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4.支持相同数据源提取指定日志；支持相同数据源提取多类型日志；</w:t>
            </w:r>
          </w:p>
          <w:p w14:paraId="5B2EFB6D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5.支持可视化自定义配置日志源，配置完成后可实现自动导入日志；</w:t>
            </w:r>
          </w:p>
          <w:p w14:paraId="4314D7FC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6.★支持与本次采购认证计费网关对接，并记录用户实名访问日志数据，并为每条数据增加实名标签；（需提供此功能界面截图，并提供对接承诺函）</w:t>
            </w:r>
          </w:p>
          <w:p w14:paraId="2A314E02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7.★支持日志格式结构化功能，可对结构或非结构化日志进行自动识别、格式化并提取其中的主要字段，并根据提取的字段查询搜索；（需提供此功能界面截图）</w:t>
            </w:r>
          </w:p>
          <w:p w14:paraId="27E77FDB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8.提供可视化大屏，监控多个日志源日志导入的状态，包括：日志压缩率、日志已用空间、系统资源占用、日志访问路径地域展示等；</w:t>
            </w:r>
          </w:p>
          <w:p w14:paraId="033D7582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9.监控单个日志源的存储状态，包括：存储占用空间、接收日志天数、日志最近更新时间、日志压缩率、磁盘剩余空间等；</w:t>
            </w:r>
          </w:p>
          <w:p w14:paraId="2D1E708F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10.支持对日志源的不同字段进行精确、范围、模糊查询，支持对日志源的各个字段进行聚合查询；</w:t>
            </w:r>
          </w:p>
          <w:p w14:paraId="4B63D60C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11.支持不同日志源间的日志便捷关联查询；</w:t>
            </w:r>
          </w:p>
          <w:p w14:paraId="37801489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12.支持提取日志字段中的关键字，进行特征库匹配告警，如挖矿告警等；</w:t>
            </w:r>
          </w:p>
          <w:p w14:paraId="623C773C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13.支持系统运行状态告警，如磁盘占用阈值告警及设置,告警以邮件方式通知，并在系统界面直接配置邮件相关设置;</w:t>
            </w:r>
          </w:p>
          <w:p w14:paraId="0ABB118F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14.支持未成功入库日志检索，能够检索未被日志管理平台标准化存储的日志，并监听分析特定设备上指定端口的日志；</w:t>
            </w:r>
          </w:p>
          <w:p w14:paraId="556385F1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15.★具备网络安全专用产品安全检测证书；（需提供证书扫描件）</w:t>
            </w:r>
          </w:p>
          <w:p w14:paraId="3C9DDE4E">
            <w:pPr>
              <w:pStyle w:val="9"/>
              <w:bidi w:val="0"/>
              <w:ind w:firstLine="0" w:firstLineChars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16.提供原厂商针对本项目的授权和三年售后服务承诺函。</w:t>
            </w:r>
          </w:p>
        </w:tc>
        <w:tc>
          <w:tcPr>
            <w:tcW w:w="575" w:type="pct"/>
            <w:noWrap w:val="0"/>
            <w:vAlign w:val="center"/>
          </w:tcPr>
          <w:p w14:paraId="515E24B3">
            <w:pPr>
              <w:pStyle w:val="9"/>
              <w:ind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color w:val="auto"/>
              </w:rPr>
              <w:t>台</w:t>
            </w:r>
          </w:p>
        </w:tc>
      </w:tr>
      <w:tr w14:paraId="1268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noWrap w:val="0"/>
            <w:vAlign w:val="center"/>
          </w:tcPr>
          <w:p w14:paraId="436C96FD">
            <w:pPr>
              <w:pStyle w:val="9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06" w:type="pct"/>
            <w:noWrap w:val="0"/>
            <w:vAlign w:val="center"/>
          </w:tcPr>
          <w:p w14:paraId="523AC342">
            <w:pPr>
              <w:pStyle w:val="9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终端防代理</w:t>
            </w:r>
          </w:p>
        </w:tc>
        <w:tc>
          <w:tcPr>
            <w:tcW w:w="3124" w:type="pct"/>
            <w:noWrap w:val="0"/>
            <w:vAlign w:val="center"/>
          </w:tcPr>
          <w:p w14:paraId="1AF47921">
            <w:pPr>
              <w:pStyle w:val="9"/>
              <w:bidi w:val="0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1.★认证计费网关增加防代理功能授权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default"/>
                <w:color w:val="auto"/>
              </w:rPr>
              <w:t>（需提供</w:t>
            </w:r>
            <w:r>
              <w:rPr>
                <w:rFonts w:hint="eastAsia"/>
                <w:color w:val="auto"/>
                <w:lang w:val="en-US" w:eastAsia="zh-CN"/>
              </w:rPr>
              <w:t>原厂承诺函</w:t>
            </w:r>
            <w:r>
              <w:rPr>
                <w:rFonts w:hint="default"/>
                <w:color w:val="auto"/>
              </w:rPr>
              <w:t>）</w:t>
            </w:r>
          </w:p>
          <w:p w14:paraId="051A5A45">
            <w:pPr>
              <w:pStyle w:val="9"/>
              <w:numPr>
                <w:ilvl w:val="0"/>
                <w:numId w:val="0"/>
              </w:numPr>
              <w:bidi w:val="0"/>
              <w:ind w:firstLine="0" w:firstLineChars="0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2.基于用户第7层应用报文识别代理私接特征，无需部署客户端，支持有线无线网任意认证方式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 w14:paraId="3ED51219">
            <w:pPr>
              <w:pStyle w:val="9"/>
              <w:numPr>
                <w:ilvl w:val="0"/>
                <w:numId w:val="0"/>
              </w:numPr>
              <w:bidi w:val="0"/>
              <w:ind w:firstLine="0" w:firstLineChars="0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3.支持同时识别私接用户的终端类型、数量、代理软件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 w14:paraId="404CE454">
            <w:pPr>
              <w:pStyle w:val="9"/>
              <w:numPr>
                <w:ilvl w:val="0"/>
                <w:numId w:val="0"/>
              </w:numPr>
              <w:bidi w:val="0"/>
              <w:ind w:firstLine="0" w:firstLineChars="0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4.识别过程无溢出报文，无漏洞，能防破解防屏蔽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 w14:paraId="5DB96043">
            <w:pPr>
              <w:pStyle w:val="9"/>
              <w:numPr>
                <w:ilvl w:val="0"/>
                <w:numId w:val="0"/>
              </w:numPr>
              <w:bidi w:val="0"/>
              <w:ind w:firstLine="0" w:firstLineChars="0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5.支持提供特征库定期更新，能有效快速识别新型代理接入应用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 w14:paraId="2724C83E">
            <w:pPr>
              <w:pStyle w:val="9"/>
              <w:numPr>
                <w:ilvl w:val="0"/>
                <w:numId w:val="0"/>
              </w:numPr>
              <w:bidi w:val="0"/>
              <w:ind w:firstLine="0" w:firstLineChars="0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6.支持不同用户组不同共享接入控制策略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</w:tc>
        <w:tc>
          <w:tcPr>
            <w:tcW w:w="575" w:type="pct"/>
            <w:noWrap w:val="0"/>
            <w:vAlign w:val="center"/>
          </w:tcPr>
          <w:p w14:paraId="0F1045C7">
            <w:pPr>
              <w:pStyle w:val="9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1套</w:t>
            </w:r>
          </w:p>
        </w:tc>
      </w:tr>
      <w:tr w14:paraId="0690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noWrap w:val="0"/>
            <w:vAlign w:val="center"/>
          </w:tcPr>
          <w:p w14:paraId="7E9FFCED">
            <w:pPr>
              <w:pStyle w:val="9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06" w:type="pct"/>
            <w:noWrap w:val="0"/>
            <w:vAlign w:val="center"/>
          </w:tcPr>
          <w:p w14:paraId="4DD50BAB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无线控制器</w:t>
            </w:r>
          </w:p>
        </w:tc>
        <w:tc>
          <w:tcPr>
            <w:tcW w:w="3124" w:type="pct"/>
            <w:noWrap w:val="0"/>
            <w:vAlign w:val="center"/>
          </w:tcPr>
          <w:p w14:paraId="30B17579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1.基于64位多核多线程高性能处理器和DDR4高速运行内存设计；</w:t>
            </w:r>
          </w:p>
          <w:p w14:paraId="695BFD12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2.支持2个万兆SFP+接口，2个千兆电，1个管理串口，4个USB扩展口，1个VGA接口；</w:t>
            </w:r>
          </w:p>
          <w:p w14:paraId="7BE56224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3.标配2048个LIC，通过LIC扩展最大可管理AP数量不少于10K个；</w:t>
            </w:r>
          </w:p>
          <w:p w14:paraId="1D021B21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4.支持彩色LCD液晶屏，提供运行信息自动轮播显示和手动切换显示；支持双FLASH冗余存储设计；</w:t>
            </w:r>
          </w:p>
          <w:p w14:paraId="71653E89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5.支持AP和SSID的无线参数模板下发，并预置办公、室外、高密等8种场景；支持无线AP和用户的负载均衡，支持5G优先，低功率用户自动下线，一键网优和定时自动优化等体验改进功能；</w:t>
            </w:r>
          </w:p>
          <w:p w14:paraId="7C225218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6.内置本地、短信、访客和Voucher卡券等方式的Portal认证功能，支持认证模板自定义，提供营销手段；</w:t>
            </w:r>
          </w:p>
          <w:p w14:paraId="2A42A28C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7.支持在线云管，实现设备列表、网络拓扑、日志告警、体验报告等实用运维功能；支持与交换、无线、安全等产品统一品牌；</w:t>
            </w:r>
          </w:p>
          <w:p w14:paraId="2E70A275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8.支持无线带宽平均分配，让不同协商速率的终端占用相等的无线信道时间，防止低速终端拉低网络整体速；</w:t>
            </w:r>
          </w:p>
          <w:p w14:paraId="7ADAD0DF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9.支持一键自动网优，自动完成无线信道、功率、频宽等参数的最佳化调整；</w:t>
            </w:r>
          </w:p>
          <w:p w14:paraId="42386E01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10.支持WIDS(无线入侵检测)、射频干扰定位、流氓AP的反制、防ARP欺骗、DHCP安全保护等无线安全防护功能；</w:t>
            </w:r>
          </w:p>
          <w:p w14:paraId="29D5C4FA">
            <w:pPr>
              <w:pStyle w:val="9"/>
              <w:bidi w:val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11.本次实配可管理AP授权数量不少于4679个。</w:t>
            </w:r>
          </w:p>
        </w:tc>
        <w:tc>
          <w:tcPr>
            <w:tcW w:w="575" w:type="pct"/>
            <w:noWrap w:val="0"/>
            <w:vAlign w:val="center"/>
          </w:tcPr>
          <w:p w14:paraId="57734485">
            <w:pPr>
              <w:pStyle w:val="9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1台</w:t>
            </w:r>
          </w:p>
        </w:tc>
      </w:tr>
      <w:tr w14:paraId="248B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noWrap w:val="0"/>
            <w:vAlign w:val="center"/>
          </w:tcPr>
          <w:p w14:paraId="6EC5F378">
            <w:pPr>
              <w:pStyle w:val="9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906" w:type="pct"/>
            <w:noWrap w:val="0"/>
            <w:vAlign w:val="center"/>
          </w:tcPr>
          <w:p w14:paraId="1EC7727A">
            <w:pPr>
              <w:pStyle w:val="9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汇聚交换机</w:t>
            </w:r>
          </w:p>
        </w:tc>
        <w:tc>
          <w:tcPr>
            <w:tcW w:w="3124" w:type="pct"/>
            <w:noWrap w:val="0"/>
            <w:vAlign w:val="center"/>
          </w:tcPr>
          <w:p w14:paraId="77B0EEEE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default"/>
                <w:color w:val="auto"/>
              </w:rPr>
              <w:t>★</w:t>
            </w:r>
            <w:r>
              <w:rPr>
                <w:rFonts w:hint="eastAsia"/>
                <w:color w:val="auto"/>
                <w:lang w:val="en-US" w:eastAsia="zh-CN"/>
              </w:rPr>
              <w:t>设备支持1个带外管理千兆电口，1个RJ45型CLI口，1个USB2.0接口，24个万兆SFP+光口，2*100GE 光口（QSFP28封装，可自适应40GE或配置成4个10GE）；（需提供官网截图和链接）</w:t>
            </w:r>
          </w:p>
          <w:p w14:paraId="5FD59282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r>
              <w:rPr>
                <w:rFonts w:hint="default"/>
                <w:color w:val="auto"/>
              </w:rPr>
              <w:t>★</w:t>
            </w:r>
            <w:r>
              <w:rPr>
                <w:rFonts w:hint="eastAsia"/>
                <w:color w:val="auto"/>
                <w:lang w:val="en-US" w:eastAsia="zh-CN"/>
              </w:rPr>
              <w:t>交换容量≥880Gbps，包转发能力≥660Mpps；（需提供官网截图和链接）</w:t>
            </w:r>
          </w:p>
          <w:p w14:paraId="0117492E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3.标配2个热插拔电源；内置4个风扇；风扇标准前后风道设计；</w:t>
            </w:r>
          </w:p>
          <w:p w14:paraId="171EFBA9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4.支持虚拟化技术，最大支持16台集群单元，支持将多台物理设备虚拟化为逻辑上的一台设备，提高交换机的的性能、可靠性、灵活性、扩展性等；</w:t>
            </w:r>
          </w:p>
          <w:p w14:paraId="6F84F253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5.支持IEEE 802.1d（STP）、802.1w（RSTP）、802.1s(MSTP)；支持802.1q VLAN,支持QINQ；</w:t>
            </w:r>
          </w:p>
          <w:p w14:paraId="7FE6453A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6.支持RIP v1/2、OSPFv2、BGP、BEIGRP，支持RIPng、OSPFv3、BGP4+；</w:t>
            </w:r>
          </w:p>
          <w:p w14:paraId="6814287B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7.支持Ingress和Egress ACL，支持匹配L2、L3、L4和IP五元组，进行复制、转发、丢弃；</w:t>
            </w:r>
          </w:p>
          <w:p w14:paraId="46B403C9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8.支持DHCP SNOOPING，支持EAPS、MEAPS环网保护协议，环网倒换时间小于100ms，支持HSRP，VRRP热备份协议；</w:t>
            </w:r>
          </w:p>
          <w:p w14:paraId="477B9029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9.支持Console、Telnet、SSH、WEB；</w:t>
            </w:r>
          </w:p>
          <w:p w14:paraId="40C44AB2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10.设备支持软件定义网络SDN，符合0penFlow1.3协议标准，支持SDN和SDNReady功能，实现网络控制层和数据转发层的分离，简化网络的管理及维护难度，实现网络流量的灵活控制；</w:t>
            </w:r>
          </w:p>
          <w:p w14:paraId="64497D83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11.具有流分类和安全审计功能；具有用户访问控制和基于 IPv6的访问控制功能。</w:t>
            </w:r>
          </w:p>
        </w:tc>
        <w:tc>
          <w:tcPr>
            <w:tcW w:w="575" w:type="pct"/>
            <w:noWrap w:val="0"/>
            <w:vAlign w:val="center"/>
          </w:tcPr>
          <w:p w14:paraId="392EE80B">
            <w:pPr>
              <w:pStyle w:val="9"/>
              <w:bidi w:val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2台</w:t>
            </w:r>
          </w:p>
        </w:tc>
      </w:tr>
      <w:tr w14:paraId="5C04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noWrap w:val="0"/>
            <w:vAlign w:val="center"/>
          </w:tcPr>
          <w:p w14:paraId="4DCB83C8">
            <w:pPr>
              <w:pStyle w:val="9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06" w:type="pct"/>
            <w:noWrap w:val="0"/>
            <w:vAlign w:val="center"/>
          </w:tcPr>
          <w:p w14:paraId="2B8328D9">
            <w:pPr>
              <w:pStyle w:val="9"/>
              <w:bidi w:val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24口POE交换机</w:t>
            </w:r>
          </w:p>
        </w:tc>
        <w:tc>
          <w:tcPr>
            <w:tcW w:w="3124" w:type="pct"/>
            <w:noWrap w:val="0"/>
            <w:vAlign w:val="center"/>
          </w:tcPr>
          <w:p w14:paraId="4160E9DF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default"/>
                <w:color w:val="auto"/>
              </w:rPr>
              <w:t>★</w:t>
            </w:r>
            <w:r>
              <w:rPr>
                <w:rFonts w:hint="eastAsia"/>
                <w:color w:val="auto"/>
                <w:lang w:val="en-US" w:eastAsia="zh-CN"/>
              </w:rPr>
              <w:t>提供24个千兆POE口，4个万兆SFP+光口，交换容量≥336Gbps，包转发能力≥124Mpps，整机POE最大功率370W；（需提供官网截图和链接）</w:t>
            </w:r>
          </w:p>
          <w:p w14:paraId="0F6DD4F2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2.支持RIP v1/2、OSPFv2、BGP、BEIGRP，支持RIPng、OSPFv3、BGP4+；支持IGMPv1/v2/v3、PIM-SM、PIM-DM，支持组播流量跨VLAN复制功能；</w:t>
            </w:r>
          </w:p>
          <w:p w14:paraId="68884CCC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3.支持EAPS、ERPS环网保护协议，支持VRRP；；支持BFD快速链路检测，并能够同RIP、OSPF、BGP、VRRP实现联动，以实现路由和链路的快速切换；</w:t>
            </w:r>
          </w:p>
          <w:p w14:paraId="538FCDA8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4.支持MCE，支持MPLS VPN的P/PE功能要求；支持Ingress和Egress ACL，支持匹配L2、L3、L4和IP五元组，进行复制、转发、丢弃；支持Hash同源同宿负载均衡，保证流量输出的会话完整性；</w:t>
            </w:r>
          </w:p>
          <w:p w14:paraId="10BD253A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5.支持ZTP零接触配置开通（Zero Touch Provisioning）；支持Console、Telnet、SSH、WEB；</w:t>
            </w:r>
          </w:p>
          <w:p w14:paraId="692FAA15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6.具有流分类和安全审计功能；具有用户访问控制和基于 IPv6的访问控制功能</w:t>
            </w:r>
          </w:p>
          <w:p w14:paraId="4B0FCE1B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7.提供防攻击功能，对恶意流量进行检测和抑制，实时查看防止攻击功能的工作情况，保护二层和三层网络安全，支持自定义时间区域查看交换机攻击事件，包括事件类型、攻击者MAC、攻击设备类型等维度;</w:t>
            </w:r>
          </w:p>
          <w:p w14:paraId="08D9F1A8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8.支持设备整机热重启时，POE供电不间断，支持基于时间段控制端口供电功能，可以开启POE功率统计，显示POE端口信息描述表，并能通过命令定义端口供电PSE供电标准。</w:t>
            </w:r>
          </w:p>
        </w:tc>
        <w:tc>
          <w:tcPr>
            <w:tcW w:w="575" w:type="pct"/>
            <w:noWrap w:val="0"/>
            <w:vAlign w:val="center"/>
          </w:tcPr>
          <w:p w14:paraId="17FB3448">
            <w:pPr>
              <w:pStyle w:val="9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262台</w:t>
            </w:r>
          </w:p>
        </w:tc>
      </w:tr>
      <w:tr w14:paraId="7B0A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noWrap w:val="0"/>
            <w:vAlign w:val="center"/>
          </w:tcPr>
          <w:p w14:paraId="38132605">
            <w:pPr>
              <w:pStyle w:val="9"/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906" w:type="pct"/>
            <w:noWrap w:val="0"/>
            <w:vAlign w:val="center"/>
          </w:tcPr>
          <w:p w14:paraId="48367D34">
            <w:pPr>
              <w:pStyle w:val="9"/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8口POE交换机</w:t>
            </w:r>
          </w:p>
        </w:tc>
        <w:tc>
          <w:tcPr>
            <w:tcW w:w="3124" w:type="pct"/>
            <w:noWrap w:val="0"/>
            <w:vAlign w:val="center"/>
          </w:tcPr>
          <w:p w14:paraId="368A6311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1.提供8个千兆POE口，4个万兆SFP+光口，交换容量≥336Gbps，包转发能力≥72Mpps，整机POE最大功率120W；</w:t>
            </w:r>
          </w:p>
          <w:p w14:paraId="2AC0963B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2.支持RIP v1/2、OSPFv2、BGP、BEIGRP，支持RIPng、OSPFv3、BGP4+；支持IGMPv1/v2/v3、PIM-SM、PIM-DM，支持组播流量跨VLAN复制功能；</w:t>
            </w:r>
          </w:p>
          <w:p w14:paraId="6BC8576F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3.支持EAPS、ERPS环网保护协议，支持VRRP；；支持BFD快速链路检测，并能够同RIP、OSPF、BGP、VRRP实现联动，以实现路由和链路的快速切换；</w:t>
            </w:r>
          </w:p>
          <w:p w14:paraId="46140C25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4.支持MCE，支持MPLS VPN的P/PE功能要求；支持Ingress和Egress ACL，支持匹配L2、L3、L4和IP五元组，进行复制、转发、丢弃；支持Hash同源同宿负载均衡，保证流量输出的会话完整性；</w:t>
            </w:r>
          </w:p>
          <w:p w14:paraId="0CFE213F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5.支持ZTP零接触配置开通（Zero Touch Provisioning）；支持Console、Telnet、SSH、WEB；</w:t>
            </w:r>
          </w:p>
          <w:p w14:paraId="69D72B4F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6.具有流分类和安全审计功能；具有用户访问控制和基于 IPv6的访问控制功；</w:t>
            </w:r>
          </w:p>
          <w:p w14:paraId="486E4113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7.提供防攻击功能，对恶意流量进行检测和抑制，实时查看防止攻击功能的工作情况，保护二层和三层网络安全，支持自定义时间区域查看交换机攻击事件，包括事件类型、攻击者MAC、攻击设备类型等维度；</w:t>
            </w:r>
          </w:p>
          <w:p w14:paraId="6217CA20">
            <w:pPr>
              <w:pStyle w:val="9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8.支持设备整机热重启时，POE供电不间断，支持基于时间段控制端口供电功能，可以开启POE功率统计，显示POE端口信息描述表，并能通过命令定义端口供电PSE供电标准。</w:t>
            </w:r>
          </w:p>
        </w:tc>
        <w:tc>
          <w:tcPr>
            <w:tcW w:w="575" w:type="pct"/>
            <w:noWrap w:val="0"/>
            <w:vAlign w:val="center"/>
          </w:tcPr>
          <w:p w14:paraId="4A83108A">
            <w:pPr>
              <w:pStyle w:val="9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2台</w:t>
            </w:r>
          </w:p>
        </w:tc>
      </w:tr>
      <w:tr w14:paraId="17D5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noWrap w:val="0"/>
            <w:vAlign w:val="center"/>
          </w:tcPr>
          <w:p w14:paraId="6F2DDC21">
            <w:pPr>
              <w:pStyle w:val="9"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906" w:type="pct"/>
            <w:noWrap w:val="0"/>
            <w:vAlign w:val="center"/>
          </w:tcPr>
          <w:p w14:paraId="6CFDB46B">
            <w:pPr>
              <w:pStyle w:val="9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面板AP</w:t>
            </w:r>
          </w:p>
        </w:tc>
        <w:tc>
          <w:tcPr>
            <w:tcW w:w="3124" w:type="pct"/>
            <w:noWrap w:val="0"/>
            <w:vAlign w:val="center"/>
          </w:tcPr>
          <w:p w14:paraId="7D552AC4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1.国标86*86mm入墙式安装；支持802.11ax WiFi6无线协议，整机四条空间流，3000M无线速率；</w:t>
            </w:r>
          </w:p>
          <w:p w14:paraId="2857CDF2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2.支持一WAN四LAN共5个千兆以太网口，支持标准POE供电；</w:t>
            </w:r>
          </w:p>
          <w:p w14:paraId="70B22C46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3.一键开关LED指示灯，支持AC远程/批量开关LED；</w:t>
            </w:r>
          </w:p>
          <w:p w14:paraId="71C8B82F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4.支持CAPWAP无线管理协议，支持本地转发和集中转发模式；支持DHCP、DNS、手工等多种方式发现，支持AP零配置自动上线；</w:t>
            </w:r>
          </w:p>
          <w:p w14:paraId="67C7286A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5.支持AP和SSID的无线参数模板下发，并预置办公、室外、高密等8种场景；</w:t>
            </w:r>
          </w:p>
          <w:p w14:paraId="72850FC8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6.内置本地、短信、访客和Voucher卡券等方式的Portal认证功能，支持认证模板自定义，提供营销手段；</w:t>
            </w:r>
          </w:p>
          <w:p w14:paraId="5B7F83BE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7.一个AP同时兼容本地AC和云AC组网，无需切换版本；</w:t>
            </w:r>
          </w:p>
          <w:p w14:paraId="2B62D2C3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8.支持AP逃生模式，在AC或网络异常时确保无线网络持续可用；</w:t>
            </w:r>
          </w:p>
          <w:p w14:paraId="29245A70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9.支持通过AP调度，使多个用户可以同时接收、发送报文，减少用户间的竞争和退避，降低网络延时，提高网络效率；</w:t>
            </w:r>
          </w:p>
          <w:p w14:paraId="127B3364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10.支持在线云管，实现设备列表、网络拓扑、日志告警、体验报告等实用运维功能。</w:t>
            </w:r>
          </w:p>
        </w:tc>
        <w:tc>
          <w:tcPr>
            <w:tcW w:w="575" w:type="pct"/>
            <w:noWrap w:val="0"/>
            <w:vAlign w:val="center"/>
          </w:tcPr>
          <w:p w14:paraId="530CC5CE">
            <w:pPr>
              <w:pStyle w:val="9"/>
              <w:bidi w:val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4672台</w:t>
            </w:r>
          </w:p>
        </w:tc>
      </w:tr>
      <w:tr w14:paraId="5B1C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noWrap w:val="0"/>
            <w:vAlign w:val="center"/>
          </w:tcPr>
          <w:p w14:paraId="63761164">
            <w:pPr>
              <w:pStyle w:val="9"/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906" w:type="pct"/>
            <w:noWrap w:val="0"/>
            <w:vAlign w:val="center"/>
          </w:tcPr>
          <w:p w14:paraId="00453D6A">
            <w:pPr>
              <w:pStyle w:val="9"/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吸顶AP</w:t>
            </w:r>
          </w:p>
        </w:tc>
        <w:tc>
          <w:tcPr>
            <w:tcW w:w="3124" w:type="pct"/>
            <w:noWrap w:val="0"/>
            <w:vAlign w:val="center"/>
          </w:tcPr>
          <w:p w14:paraId="2FA46062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1.支持吸顶式、放装式安装部署；</w:t>
            </w:r>
          </w:p>
          <w:p w14:paraId="052B2284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2.支持802.11ax wifi6无线协议，整机四条空间流，3000Mbps无线速率，内置智能全向天线；</w:t>
            </w:r>
          </w:p>
          <w:p w14:paraId="381F9AC2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3.2个千兆网口，支持POE和Adaptor双重供电方式；</w:t>
            </w:r>
          </w:p>
          <w:p w14:paraId="5C192A70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4.AP支持网口内缩隐藏和超薄设计，厚度不超过33mm；</w:t>
            </w:r>
          </w:p>
          <w:p w14:paraId="1AD3B5A1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5.一键开关LED指示灯，支持AC远程/批量开关LED；</w:t>
            </w:r>
          </w:p>
          <w:p w14:paraId="6B5630D8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6.支持CAPWAP无线管理协议，支持本地转发和集中转发模式；支持DHCP、DNS、手工等多种方式发现，支持AP零配置自动上线；</w:t>
            </w:r>
          </w:p>
          <w:p w14:paraId="237438C1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7.支持AP和SSID的无线参数模板下发，并预置办公、室外、高密等8种场景；</w:t>
            </w:r>
          </w:p>
          <w:p w14:paraId="7BA62CDA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8.内置本地、短信、访客和Voucher卡券等方式的Portal认证功能，支持认证模板自定义，提供营销手段；</w:t>
            </w:r>
          </w:p>
          <w:p w14:paraId="40FA14E4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9.★一个AP同时兼容本地AC和云AC组网，无需切换版本（投标文件中提供第三方有权威检测机构出具的具有“ CMA ”或“ CNAS ”标识的检测报告影印件或扫描件加以证明）；</w:t>
            </w:r>
          </w:p>
          <w:p w14:paraId="27BCB570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10.★支持AP逃生模式，在AC或网络异常时确保无线网络持续可用（投标文件中提供第三方有权威检测机构出具的具有“ CMA ”或“ CNAS ”标识的检测报告影印件或扫描件加以证明）；</w:t>
            </w:r>
          </w:p>
          <w:p w14:paraId="4119EBAE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11.★支持通过AP调度，使多个用户可以同时接收、发送报文，减少用户间的竞争和退避，降低网络延时，提高网络效率（投标文件中提供第三方有权威检测机构出具的具有“ CMA ”或“ CNAS ”标识的检测报告影印件或扫描件加以证明）；</w:t>
            </w:r>
          </w:p>
          <w:p w14:paraId="136E51CC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12、支持在线云管，实现设备列表、网络拓扑、日志告警、体验报告等实用运维功能。</w:t>
            </w:r>
          </w:p>
        </w:tc>
        <w:tc>
          <w:tcPr>
            <w:tcW w:w="575" w:type="pct"/>
            <w:noWrap w:val="0"/>
            <w:vAlign w:val="center"/>
          </w:tcPr>
          <w:p w14:paraId="65E506BA">
            <w:pPr>
              <w:pStyle w:val="9"/>
              <w:bidi w:val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7台</w:t>
            </w:r>
          </w:p>
        </w:tc>
      </w:tr>
      <w:tr w14:paraId="6E08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noWrap w:val="0"/>
            <w:vAlign w:val="center"/>
          </w:tcPr>
          <w:p w14:paraId="36FD93B7">
            <w:pPr>
              <w:pStyle w:val="9"/>
              <w:jc w:val="center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906" w:type="pct"/>
            <w:noWrap w:val="0"/>
            <w:vAlign w:val="center"/>
          </w:tcPr>
          <w:p w14:paraId="36E98D7C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万兆单模光模块</w:t>
            </w:r>
          </w:p>
        </w:tc>
        <w:tc>
          <w:tcPr>
            <w:tcW w:w="3124" w:type="pct"/>
            <w:noWrap w:val="0"/>
            <w:vAlign w:val="center"/>
          </w:tcPr>
          <w:p w14:paraId="3A666EA9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万兆SFP+单模（10Km，1310nm，LC，DDM）</w:t>
            </w:r>
          </w:p>
        </w:tc>
        <w:tc>
          <w:tcPr>
            <w:tcW w:w="575" w:type="pct"/>
            <w:noWrap w:val="0"/>
            <w:vAlign w:val="center"/>
          </w:tcPr>
          <w:p w14:paraId="7119BAA8">
            <w:pPr>
              <w:pStyle w:val="9"/>
              <w:bidi w:val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532个</w:t>
            </w:r>
          </w:p>
        </w:tc>
      </w:tr>
      <w:tr w14:paraId="09E7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noWrap w:val="0"/>
            <w:vAlign w:val="center"/>
          </w:tcPr>
          <w:p w14:paraId="2D035A88">
            <w:pPr>
              <w:pStyle w:val="9"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906" w:type="pct"/>
            <w:noWrap w:val="0"/>
            <w:vAlign w:val="center"/>
          </w:tcPr>
          <w:p w14:paraId="633019A0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校园网运营运维平台</w:t>
            </w:r>
          </w:p>
        </w:tc>
        <w:tc>
          <w:tcPr>
            <w:tcW w:w="3124" w:type="pct"/>
            <w:noWrap w:val="0"/>
            <w:vAlign w:val="center"/>
          </w:tcPr>
          <w:p w14:paraId="6BDCCDD9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1.系统拥有B/S架构后台管理系统以及微信小程序入口；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2.支持学生通过微信小程序提交报修、查看报修详情以及对运维服务质量进行评价；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3.含有财务管理模块，对每个月账单进行列表展示；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4.支持自定义角色并将权限细化至按钮级别；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5.支持校园网运营运维情况大屏展示，包括年级分布、套餐分布、营收情况等。</w:t>
            </w:r>
          </w:p>
        </w:tc>
        <w:tc>
          <w:tcPr>
            <w:tcW w:w="575" w:type="pct"/>
            <w:noWrap w:val="0"/>
            <w:vAlign w:val="center"/>
          </w:tcPr>
          <w:p w14:paraId="220DED59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1套</w:t>
            </w:r>
          </w:p>
        </w:tc>
      </w:tr>
      <w:tr w14:paraId="0263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noWrap w:val="0"/>
            <w:vAlign w:val="center"/>
          </w:tcPr>
          <w:p w14:paraId="09933E48">
            <w:pPr>
              <w:pStyle w:val="9"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906" w:type="pct"/>
            <w:noWrap w:val="0"/>
            <w:vAlign w:val="center"/>
          </w:tcPr>
          <w:p w14:paraId="43BA1ABC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color w:val="auto"/>
              </w:rPr>
              <w:t>服务器集</w:t>
            </w:r>
          </w:p>
        </w:tc>
        <w:tc>
          <w:tcPr>
            <w:tcW w:w="3124" w:type="pct"/>
            <w:noWrap w:val="0"/>
            <w:vAlign w:val="center"/>
          </w:tcPr>
          <w:p w14:paraId="11DF943B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1.≥24核心，≥48线程；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2.基础频率≥2.50GHz，最大睿频≥3.50GHz；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3.L3缓存≥33MB；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4.最大内存容量≥64GB。</w:t>
            </w:r>
          </w:p>
        </w:tc>
        <w:tc>
          <w:tcPr>
            <w:tcW w:w="575" w:type="pct"/>
            <w:noWrap w:val="0"/>
            <w:vAlign w:val="center"/>
          </w:tcPr>
          <w:p w14:paraId="037C718D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color w:val="auto"/>
              </w:rPr>
              <w:t>1套</w:t>
            </w:r>
          </w:p>
        </w:tc>
      </w:tr>
      <w:tr w14:paraId="755B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noWrap w:val="0"/>
            <w:vAlign w:val="center"/>
          </w:tcPr>
          <w:p w14:paraId="557EF8EE">
            <w:pPr>
              <w:pStyle w:val="9"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906" w:type="pct"/>
            <w:noWrap w:val="0"/>
            <w:vAlign w:val="center"/>
          </w:tcPr>
          <w:p w14:paraId="50A79521">
            <w:pPr>
              <w:pStyle w:val="9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color w:val="auto"/>
              </w:rPr>
              <w:t>校园网设备监控系统</w:t>
            </w:r>
          </w:p>
        </w:tc>
        <w:tc>
          <w:tcPr>
            <w:tcW w:w="3124" w:type="pct"/>
            <w:noWrap w:val="0"/>
            <w:vAlign w:val="center"/>
          </w:tcPr>
          <w:p w14:paraId="1FA441B5">
            <w:pPr>
              <w:pStyle w:val="9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1.支持Agent、SNMP、ODBC、IPMI、SSH、TELNET、SEND、HTTP、JMX、脚本、计算型等监控方式，支持IPv4和IPv6地址的设备监控；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2.数据传输采用压缩机制，支持敏感信息加密存储，保证数据安全；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3.Web监控允许重定向，支持添加多个变量和HTTP头信息；URL认证信息包括：HTTP认证、SSL证书文件等；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4.提供告警关联知识，能够在告警页面查看知识方案；同时具备将故障处理方案记录到知识库。</w:t>
            </w:r>
          </w:p>
        </w:tc>
        <w:tc>
          <w:tcPr>
            <w:tcW w:w="575" w:type="pct"/>
            <w:noWrap w:val="0"/>
            <w:vAlign w:val="center"/>
          </w:tcPr>
          <w:p w14:paraId="0CBC99A8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color w:val="auto"/>
              </w:rPr>
              <w:t>1套</w:t>
            </w:r>
          </w:p>
        </w:tc>
      </w:tr>
      <w:tr w14:paraId="2DFF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3" w:type="pct"/>
            <w:noWrap w:val="0"/>
            <w:vAlign w:val="center"/>
          </w:tcPr>
          <w:p w14:paraId="47B423F1">
            <w:pPr>
              <w:pStyle w:val="9"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</w:p>
        </w:tc>
        <w:tc>
          <w:tcPr>
            <w:tcW w:w="906" w:type="pct"/>
            <w:noWrap w:val="0"/>
            <w:vAlign w:val="center"/>
          </w:tcPr>
          <w:p w14:paraId="6732DE22">
            <w:pPr>
              <w:pStyle w:val="9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color w:val="auto"/>
              </w:rPr>
              <w:t>校园网可视化大屏系统</w:t>
            </w:r>
          </w:p>
        </w:tc>
        <w:tc>
          <w:tcPr>
            <w:tcW w:w="3124" w:type="pct"/>
            <w:noWrap w:val="0"/>
            <w:vAlign w:val="center"/>
          </w:tcPr>
          <w:p w14:paraId="628B0FF9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根据采购人要求展示运营运维数据，包括校园网络总用户数、单宽/融合用户数、学生报修信息、故障解决情况等。</w:t>
            </w:r>
          </w:p>
        </w:tc>
        <w:tc>
          <w:tcPr>
            <w:tcW w:w="575" w:type="pct"/>
            <w:noWrap w:val="0"/>
            <w:vAlign w:val="center"/>
          </w:tcPr>
          <w:p w14:paraId="324ACF2F">
            <w:pPr>
              <w:pStyle w:val="9"/>
              <w:bidi w:val="0"/>
              <w:rPr>
                <w:rFonts w:hint="default"/>
                <w:color w:val="auto"/>
                <w:lang w:val="en-US"/>
              </w:rPr>
            </w:pPr>
            <w:r>
              <w:rPr>
                <w:color w:val="auto"/>
              </w:rPr>
              <w:t>1套</w:t>
            </w:r>
          </w:p>
        </w:tc>
      </w:tr>
      <w:tr w14:paraId="6106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noWrap w:val="0"/>
            <w:vAlign w:val="center"/>
          </w:tcPr>
          <w:p w14:paraId="2080A44F">
            <w:pPr>
              <w:pStyle w:val="9"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14</w:t>
            </w:r>
          </w:p>
        </w:tc>
        <w:tc>
          <w:tcPr>
            <w:tcW w:w="906" w:type="pct"/>
            <w:noWrap w:val="0"/>
            <w:vAlign w:val="center"/>
          </w:tcPr>
          <w:p w14:paraId="071E4EE7">
            <w:pPr>
              <w:pStyle w:val="9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color w:val="auto"/>
              </w:rPr>
              <w:t>校园网服务中心</w:t>
            </w:r>
          </w:p>
        </w:tc>
        <w:tc>
          <w:tcPr>
            <w:tcW w:w="3124" w:type="pct"/>
            <w:noWrap w:val="0"/>
            <w:vAlign w:val="center"/>
          </w:tcPr>
          <w:p w14:paraId="2C990069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根据采购人安排统一装修建设。</w:t>
            </w:r>
          </w:p>
        </w:tc>
        <w:tc>
          <w:tcPr>
            <w:tcW w:w="575" w:type="pct"/>
            <w:noWrap w:val="0"/>
            <w:vAlign w:val="center"/>
          </w:tcPr>
          <w:p w14:paraId="24BC2BBD">
            <w:pPr>
              <w:pStyle w:val="9"/>
              <w:bidi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color w:val="auto"/>
              </w:rPr>
              <w:t>套</w:t>
            </w:r>
          </w:p>
        </w:tc>
      </w:tr>
      <w:tr w14:paraId="1035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" w:type="pct"/>
            <w:noWrap w:val="0"/>
            <w:vAlign w:val="center"/>
          </w:tcPr>
          <w:p w14:paraId="31039555">
            <w:pPr>
              <w:pStyle w:val="9"/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</w:p>
        </w:tc>
        <w:tc>
          <w:tcPr>
            <w:tcW w:w="906" w:type="pct"/>
            <w:noWrap w:val="0"/>
            <w:vAlign w:val="center"/>
          </w:tcPr>
          <w:p w14:paraId="28C5A5AA">
            <w:pPr>
              <w:pStyle w:val="9"/>
              <w:bidi w:val="0"/>
              <w:ind w:firstLine="0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项目建设服务</w:t>
            </w:r>
          </w:p>
        </w:tc>
        <w:tc>
          <w:tcPr>
            <w:tcW w:w="3124" w:type="pct"/>
            <w:noWrap w:val="0"/>
            <w:vAlign w:val="center"/>
          </w:tcPr>
          <w:p w14:paraId="0DA35FAB">
            <w:pPr>
              <w:pStyle w:val="9"/>
              <w:bidi w:val="0"/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提供本次项目工程建设所有的辅材（线缆、机柜、线管、水晶头等）、设备安装和调试服务</w:t>
            </w:r>
          </w:p>
        </w:tc>
        <w:tc>
          <w:tcPr>
            <w:tcW w:w="575" w:type="pct"/>
            <w:noWrap w:val="0"/>
            <w:vAlign w:val="center"/>
          </w:tcPr>
          <w:p w14:paraId="5B794684">
            <w:pPr>
              <w:pStyle w:val="9"/>
              <w:ind w:firstLine="0" w:firstLineChars="0"/>
              <w:rPr>
                <w:rFonts w:hint="default"/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项</w:t>
            </w:r>
          </w:p>
        </w:tc>
      </w:tr>
    </w:tbl>
    <w:p w14:paraId="5C77CE82">
      <w:pPr>
        <w:ind w:firstLine="0" w:firstLineChars="0"/>
        <w:jc w:val="left"/>
        <w:outlineLvl w:val="9"/>
      </w:pPr>
    </w:p>
    <w:p w14:paraId="77F9503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0" w:right="1800" w:bottom="102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CFDCC">
    <w:pPr>
      <w:pStyle w:val="4"/>
      <w:pBdr>
        <w:top w:val="single" w:color="auto" w:sz="4" w:space="0"/>
      </w:pBdr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EDCBB">
                          <w:pPr>
                            <w:pStyle w:val="4"/>
                            <w:ind w:firstLine="360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DEDCBB">
                    <w:pPr>
                      <w:pStyle w:val="4"/>
                      <w:ind w:firstLine="360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C80CA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8243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E13E2">
    <w:pPr>
      <w:jc w:val="center"/>
      <w:rPr>
        <w:rFonts w:hint="eastAsia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C9C3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9D674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81A0B"/>
    <w:rsid w:val="114E3D93"/>
    <w:rsid w:val="2A51539E"/>
    <w:rsid w:val="2F936F1C"/>
    <w:rsid w:val="593D5D79"/>
    <w:rsid w:val="64EE6A20"/>
    <w:rsid w:val="7081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0" w:line="28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无缩进"/>
    <w:basedOn w:val="1"/>
    <w:autoRedefine/>
    <w:qFormat/>
    <w:uiPriority w:val="0"/>
    <w:pPr>
      <w:adjustRightInd w:val="0"/>
      <w:snapToGrid w:val="0"/>
      <w:spacing w:line="240" w:lineRule="auto"/>
      <w:ind w:firstLine="0" w:firstLineChars="0"/>
    </w:pPr>
    <w:rPr>
      <w:rFonts w:hint="eastAsia" w:ascii="宋体" w:hAnsi="宋体" w:cs="宋体"/>
      <w:bCs/>
      <w:color w:val="40404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2656</Words>
  <Characters>2791</Characters>
  <Lines>0</Lines>
  <Paragraphs>0</Paragraphs>
  <TotalTime>17</TotalTime>
  <ScaleCrop>false</ScaleCrop>
  <LinksUpToDate>false</LinksUpToDate>
  <CharactersWithSpaces>2791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2026-04-02T01:43:00Z</dcterms:created>
  <dc:creator>Administrator.DESKTOP-0NNR44G</dc:creator>
  <cp:lastModifiedBy>刘瑞洁</cp:lastModifiedBy>
  <cp:lastPrinted>2026-04-10T07:07:00Z</cp:lastPrinted>
  <dcterms:modified xsi:type="dcterms:W3CDTF">2026-04-15T08:26:21Z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eyJoZGlkIjoiZWQ0ZTNlNTQ5MGY3NGI0ZjBkMmY1Mzk2MDg5MTIyMjgiLCJ1c2VySWQiOiIxMDMyNTc2NjA4In0=</vt:lpwstr>
  </property>
  <property fmtid="{D5CDD505-2E9C-101B-9397-08002B2CF9AE}" pid="4" name="ICV">
    <vt:lpwstr>B9344DF264DD4BC88AEA89966DD285A6_12</vt:lpwstr>
  </property>
</Properties>
</file>